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F7AF5" w14:textId="7AAE55AD" w:rsidR="00F907EB" w:rsidRDefault="001F50CF" w:rsidP="00F907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21/04/2022 - </w:t>
      </w:r>
      <w:r w:rsidR="00F907EB">
        <w:rPr>
          <w:rFonts w:ascii="Arial" w:hAnsi="Arial" w:cs="Arial"/>
        </w:rPr>
        <w:t>pp. 01 e 03</w:t>
      </w:r>
    </w:p>
    <w:p w14:paraId="0D19D865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</w:p>
    <w:p w14:paraId="69BCB270" w14:textId="338F48A0" w:rsidR="00F907EB" w:rsidRDefault="00F907EB" w:rsidP="00F907EB">
      <w:pPr>
        <w:spacing w:after="0"/>
        <w:jc w:val="both"/>
        <w:rPr>
          <w:rFonts w:ascii="Arial" w:hAnsi="Arial" w:cs="Arial"/>
          <w:b/>
          <w:bCs/>
        </w:rPr>
      </w:pPr>
      <w:r w:rsidRPr="0010134A">
        <w:rPr>
          <w:rFonts w:ascii="Arial" w:hAnsi="Arial" w:cs="Arial"/>
          <w:b/>
          <w:bCs/>
        </w:rPr>
        <w:t>DECRETO Nº 61.242, DE 20 DE ABRIL DE 2022</w:t>
      </w:r>
    </w:p>
    <w:p w14:paraId="1AE1E2DE" w14:textId="77777777" w:rsidR="00F907EB" w:rsidRPr="0010134A" w:rsidRDefault="00F907EB" w:rsidP="00F907EB">
      <w:pPr>
        <w:spacing w:after="0"/>
        <w:jc w:val="both"/>
        <w:rPr>
          <w:rFonts w:ascii="Arial" w:hAnsi="Arial" w:cs="Arial"/>
          <w:b/>
          <w:bCs/>
        </w:rPr>
      </w:pPr>
    </w:p>
    <w:p w14:paraId="07165DB1" w14:textId="66C90FB9" w:rsidR="00F907EB" w:rsidRDefault="00F907EB" w:rsidP="00F907E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0134A">
        <w:rPr>
          <w:rFonts w:ascii="Arial" w:hAnsi="Arial" w:cs="Arial"/>
          <w:b/>
          <w:bCs/>
          <w:i/>
          <w:iCs/>
        </w:rPr>
        <w:t>Regulamenta as Leis nº 17.708, de 3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10134A">
        <w:rPr>
          <w:rFonts w:ascii="Arial" w:hAnsi="Arial" w:cs="Arial"/>
          <w:b/>
          <w:bCs/>
          <w:i/>
          <w:iCs/>
        </w:rPr>
        <w:t>novembro de 2021, e nº 17.720, de 2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10134A">
        <w:rPr>
          <w:rFonts w:ascii="Arial" w:hAnsi="Arial" w:cs="Arial"/>
          <w:b/>
          <w:bCs/>
          <w:i/>
          <w:iCs/>
        </w:rPr>
        <w:t>dezembro de 2021, com alterações subsequentes, dispondo sobre os cargos de provimento em comissão e as funções de confiança da Administração Pública Municipal.</w:t>
      </w:r>
    </w:p>
    <w:p w14:paraId="4A6D2B6F" w14:textId="77777777" w:rsidR="00F907EB" w:rsidRPr="0010134A" w:rsidRDefault="00F907EB" w:rsidP="00F907EB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0015021B" w14:textId="59282B7F" w:rsidR="00F907EB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RICARDO NUNES, Prefeito do Município de São Paulo, no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uso das atribuições que lhe são conferidas por lei,</w:t>
      </w:r>
    </w:p>
    <w:p w14:paraId="75198FBC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</w:p>
    <w:p w14:paraId="40FE7F21" w14:textId="70AC0F03" w:rsidR="00F907EB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D E C R E T A:</w:t>
      </w:r>
    </w:p>
    <w:p w14:paraId="13C8DFB4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</w:p>
    <w:p w14:paraId="7E5FED1A" w14:textId="77777777" w:rsidR="00F907EB" w:rsidRPr="0010134A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10134A">
        <w:rPr>
          <w:rFonts w:ascii="Arial" w:hAnsi="Arial" w:cs="Arial"/>
          <w:b/>
          <w:bCs/>
        </w:rPr>
        <w:t>CAPÍTULO I</w:t>
      </w:r>
    </w:p>
    <w:p w14:paraId="4117FD4D" w14:textId="1C3AA860" w:rsidR="00F907EB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10134A">
        <w:rPr>
          <w:rFonts w:ascii="Arial" w:hAnsi="Arial" w:cs="Arial"/>
          <w:b/>
          <w:bCs/>
        </w:rPr>
        <w:t>DO OBJETO E ÂMBITO DE APLICAÇÃO</w:t>
      </w:r>
    </w:p>
    <w:p w14:paraId="115A3642" w14:textId="77777777" w:rsidR="00F907EB" w:rsidRPr="0010134A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</w:p>
    <w:p w14:paraId="4EE2C6A9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1º A Lei nº 17.708, de 3 de novembro de 2021, que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dispõe sobre a reorganização dos cargos de provimento em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comissão, destinados às atribuições de direção, chefia e assessoramento no âmbito da Administração Pública Municipal, e 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Lei nº 17.720, de 2 de dezembro de 2021, que cria as Funções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Direção e Assessoramento – FDA, extingue funções de confiança da Procuradoria Geral do Município, da Guarda Civil Metropolitana e do Quadro do Pessoal da Administração Tributária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do Município de São Paulo, e cria cargos de provimento em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comissão na Administração Pública Municipal Indireta, ficam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regulamentas de acordo com as disposições deste decreto</w:t>
      </w:r>
      <w:r>
        <w:rPr>
          <w:rFonts w:ascii="Arial" w:hAnsi="Arial" w:cs="Arial"/>
        </w:rPr>
        <w:t xml:space="preserve"> </w:t>
      </w:r>
    </w:p>
    <w:p w14:paraId="37C9AAE3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</w:p>
    <w:p w14:paraId="505D3A61" w14:textId="6CEC140A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2º O disposto neste decreto aplica-se à Administração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Pública Municipal Direta e, no âmbito da Administração Pública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Municipal Indireta, ao Instituto de Previdência Municipal de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São Paulo – IPREM, ao Hospital do Servidor Público Municipal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 xml:space="preserve">– HSPM, à Fundação </w:t>
      </w:r>
      <w:proofErr w:type="spellStart"/>
      <w:r w:rsidRPr="003135A1">
        <w:rPr>
          <w:rFonts w:ascii="Arial" w:hAnsi="Arial" w:cs="Arial"/>
        </w:rPr>
        <w:t>Theatro</w:t>
      </w:r>
      <w:proofErr w:type="spellEnd"/>
      <w:r w:rsidRPr="003135A1">
        <w:rPr>
          <w:rFonts w:ascii="Arial" w:hAnsi="Arial" w:cs="Arial"/>
        </w:rPr>
        <w:t xml:space="preserve"> Municipal de São Paulo e à Fundação Paulistana de Educação, Tecnologia e Cultura – Fundação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Paulistana.</w:t>
      </w:r>
    </w:p>
    <w:p w14:paraId="2395790D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Parágrafo único. O disposto neste decreto não se aplica:</w:t>
      </w:r>
    </w:p>
    <w:p w14:paraId="3851AB16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 - </w:t>
      </w:r>
      <w:proofErr w:type="gramStart"/>
      <w:r w:rsidRPr="003135A1">
        <w:rPr>
          <w:rFonts w:ascii="Arial" w:hAnsi="Arial" w:cs="Arial"/>
        </w:rPr>
        <w:t>aos</w:t>
      </w:r>
      <w:proofErr w:type="gramEnd"/>
      <w:r w:rsidRPr="003135A1">
        <w:rPr>
          <w:rFonts w:ascii="Arial" w:hAnsi="Arial" w:cs="Arial"/>
        </w:rPr>
        <w:t xml:space="preserve"> cargos em comissão e funções de confiança do nível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direção superior das Secretarias, Subprefeituras, Autarquias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e Fundações Municipais previstos na Lei nº 15.509, de 15 de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dezembro de 2011, e legislação subsequente;</w:t>
      </w:r>
    </w:p>
    <w:p w14:paraId="301D29C9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II – </w:t>
      </w:r>
      <w:proofErr w:type="gramStart"/>
      <w:r w:rsidRPr="003135A1">
        <w:rPr>
          <w:rFonts w:ascii="Arial" w:hAnsi="Arial" w:cs="Arial"/>
        </w:rPr>
        <w:t>às</w:t>
      </w:r>
      <w:proofErr w:type="gramEnd"/>
      <w:r w:rsidRPr="003135A1">
        <w:rPr>
          <w:rFonts w:ascii="Arial" w:hAnsi="Arial" w:cs="Arial"/>
        </w:rPr>
        <w:t xml:space="preserve"> demais entidades da Administração Pública Municipal Indireta;</w:t>
      </w:r>
    </w:p>
    <w:p w14:paraId="69D8BFBC" w14:textId="4EAD85A1" w:rsidR="00F907EB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III – aos cargos em comissão do Quadro dos Profissionais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Educação, reorganizado pela Lei nº 14.660, de 26 de dezembro de 2007, e legislação subsequente.</w:t>
      </w:r>
    </w:p>
    <w:p w14:paraId="71EC500C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</w:p>
    <w:p w14:paraId="3B408695" w14:textId="77777777" w:rsidR="00F907EB" w:rsidRPr="0010134A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10134A">
        <w:rPr>
          <w:rFonts w:ascii="Arial" w:hAnsi="Arial" w:cs="Arial"/>
          <w:b/>
          <w:bCs/>
        </w:rPr>
        <w:t>CAPÍTULO II</w:t>
      </w:r>
    </w:p>
    <w:p w14:paraId="3577E290" w14:textId="77777777" w:rsidR="00F907EB" w:rsidRPr="0010134A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10134A">
        <w:rPr>
          <w:rFonts w:ascii="Arial" w:hAnsi="Arial" w:cs="Arial"/>
          <w:b/>
          <w:bCs/>
        </w:rPr>
        <w:t>DA ADMINISTRAÇÃO PÚBLICA MUNICIPAL DIRETA</w:t>
      </w:r>
    </w:p>
    <w:p w14:paraId="533B7F62" w14:textId="77777777" w:rsidR="00F907EB" w:rsidRPr="0010134A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10134A">
        <w:rPr>
          <w:rFonts w:ascii="Arial" w:hAnsi="Arial" w:cs="Arial"/>
          <w:b/>
          <w:bCs/>
        </w:rPr>
        <w:t>Seção I</w:t>
      </w:r>
    </w:p>
    <w:p w14:paraId="2C92C0F9" w14:textId="11C7BF0B" w:rsidR="00F907EB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10134A">
        <w:rPr>
          <w:rFonts w:ascii="Arial" w:hAnsi="Arial" w:cs="Arial"/>
          <w:b/>
          <w:bCs/>
        </w:rPr>
        <w:t>Da Natureza dos Cargos em Comissão e Funções de Confiança</w:t>
      </w:r>
    </w:p>
    <w:p w14:paraId="36F8C504" w14:textId="77777777" w:rsidR="00F907EB" w:rsidRPr="0010134A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</w:p>
    <w:p w14:paraId="1501D94A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3º Os Cargos de Direção e Assessoramento – CDA e as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Funções de Direção e Assessoramento – FDA são constituídos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pelas seguintes naturezas:</w:t>
      </w:r>
    </w:p>
    <w:p w14:paraId="02F9B4A4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I – direção e chefia, compreendendo os níveis CDA-2 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CDA-6;</w:t>
      </w:r>
    </w:p>
    <w:p w14:paraId="4093B95E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II – </w:t>
      </w:r>
      <w:proofErr w:type="gramStart"/>
      <w:r w:rsidRPr="003135A1">
        <w:rPr>
          <w:rFonts w:ascii="Arial" w:hAnsi="Arial" w:cs="Arial"/>
        </w:rPr>
        <w:t>assessoramento</w:t>
      </w:r>
      <w:proofErr w:type="gramEnd"/>
      <w:r w:rsidRPr="003135A1">
        <w:rPr>
          <w:rFonts w:ascii="Arial" w:hAnsi="Arial" w:cs="Arial"/>
        </w:rPr>
        <w:t>, compreendendo os níveis CDA-1 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CDA-6;</w:t>
      </w:r>
    </w:p>
    <w:p w14:paraId="7E3B110E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III – direção, chefia e assessoramento, compreendendo 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níveis FDA-1 a FDA-12.</w:t>
      </w:r>
    </w:p>
    <w:p w14:paraId="3B0A48FC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§ 1º Somente os ocupantes de cargos e funções da natureza de direção e chefia serão titulares de unidades administrativas.</w:t>
      </w:r>
    </w:p>
    <w:p w14:paraId="149ED1FA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§ 2º Os cargos da natureza de assessoramento destinam-se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ao assessoramento direto e imediato aos ocupantes de cargos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ou funções da natureza direção e chefia.</w:t>
      </w:r>
    </w:p>
    <w:p w14:paraId="2BEA22E9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lastRenderedPageBreak/>
        <w:t>§ 3º Os atos normativos de estrutura organizacional determinarão o enquadramento dos cargos e funções às naturezas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previstas nos incisos I a III do “caput” deste artigo, conforme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a sua denominação, observadas as competências previstas em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legislação específica.</w:t>
      </w:r>
    </w:p>
    <w:p w14:paraId="504A1C3C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§ 4º A definição do cargo de chefia das unidades deverá levar em consideração a unidade, o nível hierárquico e o nível de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responsabilidade do gestor, a partir dos seguintes parâmetros,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em rol não exclusivo, não taxativo e sem ordem de priorização:</w:t>
      </w:r>
    </w:p>
    <w:p w14:paraId="462A1099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 – </w:t>
      </w:r>
      <w:proofErr w:type="gramStart"/>
      <w:r w:rsidRPr="003135A1">
        <w:rPr>
          <w:rFonts w:ascii="Arial" w:hAnsi="Arial" w:cs="Arial"/>
        </w:rPr>
        <w:t>quantidade</w:t>
      </w:r>
      <w:proofErr w:type="gramEnd"/>
      <w:r w:rsidRPr="003135A1">
        <w:rPr>
          <w:rFonts w:ascii="Arial" w:hAnsi="Arial" w:cs="Arial"/>
        </w:rPr>
        <w:t xml:space="preserve"> de unidades subordinadas;</w:t>
      </w:r>
    </w:p>
    <w:p w14:paraId="56CB9F83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II – </w:t>
      </w:r>
      <w:proofErr w:type="gramStart"/>
      <w:r w:rsidRPr="003135A1">
        <w:rPr>
          <w:rFonts w:ascii="Arial" w:hAnsi="Arial" w:cs="Arial"/>
        </w:rPr>
        <w:t>quantidade</w:t>
      </w:r>
      <w:proofErr w:type="gramEnd"/>
      <w:r w:rsidRPr="003135A1">
        <w:rPr>
          <w:rFonts w:ascii="Arial" w:hAnsi="Arial" w:cs="Arial"/>
        </w:rPr>
        <w:t xml:space="preserve"> de servidores da unidade;</w:t>
      </w:r>
    </w:p>
    <w:p w14:paraId="5CB34DF0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III – natureza e complexidade das atividades sob sua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responsabilidade, nas dimensões técnica, jurídica e de controle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interno e externo;</w:t>
      </w:r>
    </w:p>
    <w:p w14:paraId="65C1D8DC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IV – </w:t>
      </w:r>
      <w:proofErr w:type="gramStart"/>
      <w:r w:rsidRPr="003135A1">
        <w:rPr>
          <w:rFonts w:ascii="Arial" w:hAnsi="Arial" w:cs="Arial"/>
        </w:rPr>
        <w:t>vinculação</w:t>
      </w:r>
      <w:proofErr w:type="gramEnd"/>
      <w:r w:rsidRPr="003135A1">
        <w:rPr>
          <w:rFonts w:ascii="Arial" w:hAnsi="Arial" w:cs="Arial"/>
        </w:rPr>
        <w:t xml:space="preserve"> das atividades realizadas pela área aos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instrumentos de planejamento, especialmente o Programa de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Metas;</w:t>
      </w:r>
    </w:p>
    <w:p w14:paraId="58A9669B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V – </w:t>
      </w:r>
      <w:proofErr w:type="gramStart"/>
      <w:r w:rsidRPr="003135A1">
        <w:rPr>
          <w:rFonts w:ascii="Arial" w:hAnsi="Arial" w:cs="Arial"/>
        </w:rPr>
        <w:t>orçamento</w:t>
      </w:r>
      <w:proofErr w:type="gramEnd"/>
      <w:r w:rsidRPr="003135A1">
        <w:rPr>
          <w:rFonts w:ascii="Arial" w:hAnsi="Arial" w:cs="Arial"/>
        </w:rPr>
        <w:t xml:space="preserve"> gerido pela unidade ou vinculado às suas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atividades;</w:t>
      </w:r>
    </w:p>
    <w:p w14:paraId="75D23DB8" w14:textId="00AAF0E4" w:rsidR="00F907EB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VI – </w:t>
      </w:r>
      <w:proofErr w:type="gramStart"/>
      <w:r w:rsidRPr="003135A1">
        <w:rPr>
          <w:rFonts w:ascii="Arial" w:hAnsi="Arial" w:cs="Arial"/>
        </w:rPr>
        <w:t>proximidade</w:t>
      </w:r>
      <w:proofErr w:type="gramEnd"/>
      <w:r w:rsidRPr="003135A1">
        <w:rPr>
          <w:rFonts w:ascii="Arial" w:hAnsi="Arial" w:cs="Arial"/>
        </w:rPr>
        <w:t xml:space="preserve"> da tomada de decisões estratégicas e das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diretrizes político-governamentais.</w:t>
      </w:r>
    </w:p>
    <w:p w14:paraId="38E8046A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</w:p>
    <w:p w14:paraId="1D96ADE3" w14:textId="77777777" w:rsidR="00F907EB" w:rsidRPr="0010134A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10134A">
        <w:rPr>
          <w:rFonts w:ascii="Arial" w:hAnsi="Arial" w:cs="Arial"/>
          <w:b/>
          <w:bCs/>
        </w:rPr>
        <w:t>Seção II</w:t>
      </w:r>
    </w:p>
    <w:p w14:paraId="3899A2A0" w14:textId="37FE2915" w:rsidR="00F907EB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10134A">
        <w:rPr>
          <w:rFonts w:ascii="Arial" w:hAnsi="Arial" w:cs="Arial"/>
          <w:b/>
          <w:bCs/>
        </w:rPr>
        <w:t>Dos Critérios Específicos para o Provimento de Cargos em</w:t>
      </w:r>
      <w:r>
        <w:rPr>
          <w:rFonts w:ascii="Arial" w:hAnsi="Arial" w:cs="Arial"/>
          <w:b/>
          <w:bCs/>
        </w:rPr>
        <w:t xml:space="preserve"> </w:t>
      </w:r>
      <w:r w:rsidRPr="0010134A">
        <w:rPr>
          <w:rFonts w:ascii="Arial" w:hAnsi="Arial" w:cs="Arial"/>
          <w:b/>
          <w:bCs/>
        </w:rPr>
        <w:t>Comissão</w:t>
      </w:r>
    </w:p>
    <w:p w14:paraId="2C7AD004" w14:textId="77777777" w:rsidR="00F907EB" w:rsidRPr="0010134A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</w:p>
    <w:p w14:paraId="7900A0B3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4º Para o provimento dos cargos em comissão do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Quadro de Cargos em Comissão dos Órgãos da Administração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Pública Municipal Direta – QC, os indicados deverão atender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ao disposto no artigo 4º da Lei nº 17.708, de 3 de novembro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2021.</w:t>
      </w:r>
    </w:p>
    <w:p w14:paraId="2821E54B" w14:textId="7E8AE491" w:rsidR="00F907EB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Parágrafo único. O detalhamento dos critérios específicos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para o provimento dos cargos em comissão a que se refere 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“caput” deste artigo poderá ser previsto em decreto.</w:t>
      </w:r>
    </w:p>
    <w:p w14:paraId="316F9AF1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</w:p>
    <w:p w14:paraId="3766483C" w14:textId="77777777" w:rsidR="00F907EB" w:rsidRPr="0010134A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10134A">
        <w:rPr>
          <w:rFonts w:ascii="Arial" w:hAnsi="Arial" w:cs="Arial"/>
          <w:b/>
          <w:bCs/>
        </w:rPr>
        <w:t>Seção III</w:t>
      </w:r>
    </w:p>
    <w:p w14:paraId="69EE0567" w14:textId="2197EA97" w:rsidR="00F907EB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10134A">
        <w:rPr>
          <w:rFonts w:ascii="Arial" w:hAnsi="Arial" w:cs="Arial"/>
          <w:b/>
          <w:bCs/>
        </w:rPr>
        <w:t>Da Denominação dos Cargos e Funções</w:t>
      </w:r>
    </w:p>
    <w:p w14:paraId="5C0F70EE" w14:textId="77777777" w:rsidR="00F907EB" w:rsidRPr="0010134A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</w:p>
    <w:p w14:paraId="6B5237ED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5º Ficam estabelecidas, na conformidade das Tabelas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“A” e “B” do Anexo I deste decreto, as denominações-padrões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dos cargos do Quadro de Cargos em Comissão dos Órgãos da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Administração Pública Municipal Direta – QC e das Funções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Confiança Restritas à Designação dentre Integrantes da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Carreira de Procurador do Município, do Quadro de Funções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Confiança dos Órgãos da Administração Pública Municipal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Direta – QF.</w:t>
      </w:r>
    </w:p>
    <w:p w14:paraId="4C38746F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§ 1º Os cargos do QC poderão ter denominações específicas, além das previstas nas Tabelas “A” e “B” do Anexo I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deste decreto, observado o disposto no artigo 11, inciso V, deste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decreto.</w:t>
      </w:r>
    </w:p>
    <w:p w14:paraId="2CD7B18C" w14:textId="576C3EA4" w:rsidR="00F907EB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§ 2º As denominações de funções de confiança do QF previstas na Tabela “B” do Anexo I deste decreto não se aplicam às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funções de confiança lotadas na Procuradoria Geral do Município, que terão denominações próprias.</w:t>
      </w:r>
    </w:p>
    <w:p w14:paraId="6EABEDCC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</w:p>
    <w:p w14:paraId="69C31EEC" w14:textId="77777777" w:rsidR="00F907EB" w:rsidRPr="002A6C41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2A6C41">
        <w:rPr>
          <w:rFonts w:ascii="Arial" w:hAnsi="Arial" w:cs="Arial"/>
          <w:b/>
          <w:bCs/>
        </w:rPr>
        <w:t>Seção IV</w:t>
      </w:r>
    </w:p>
    <w:p w14:paraId="7D86467B" w14:textId="54CE8B3E" w:rsidR="00F907EB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2A6C41">
        <w:rPr>
          <w:rFonts w:ascii="Arial" w:hAnsi="Arial" w:cs="Arial"/>
          <w:b/>
          <w:bCs/>
        </w:rPr>
        <w:t>Dos Percentuais Mínimos de Provimento dos Cargos em</w:t>
      </w:r>
      <w:r>
        <w:rPr>
          <w:rFonts w:ascii="Arial" w:hAnsi="Arial" w:cs="Arial"/>
          <w:b/>
          <w:bCs/>
        </w:rPr>
        <w:t xml:space="preserve"> </w:t>
      </w:r>
      <w:r w:rsidRPr="002A6C41">
        <w:rPr>
          <w:rFonts w:ascii="Arial" w:hAnsi="Arial" w:cs="Arial"/>
          <w:b/>
          <w:bCs/>
        </w:rPr>
        <w:t>Comissão por Servidores</w:t>
      </w:r>
    </w:p>
    <w:p w14:paraId="12C0A52A" w14:textId="77777777" w:rsidR="00F907EB" w:rsidRPr="002A6C41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</w:p>
    <w:p w14:paraId="234ADB77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6º Os Secretários Municipais, os Subprefeitos, o Procurador Geral do Município e o Controlador Geral do Município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são responsáveis pelo alcance e manutenção dos percentuais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ocupação de cargos em comissão por servidores no âmbito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seus respectivos órgãos.</w:t>
      </w:r>
    </w:p>
    <w:p w14:paraId="09D22499" w14:textId="038CF55B" w:rsidR="00F907EB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Parágrafo único. A unidade incumbida da gestão de pessoas deverá acompanhar e fornecer orientações e subsídios, nos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assuntos de que trata o “caput” deste artigo, para o titular do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órgão a que se encontre vinculada.</w:t>
      </w:r>
    </w:p>
    <w:p w14:paraId="51AD6745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</w:p>
    <w:p w14:paraId="5DD2B62E" w14:textId="045F9949" w:rsidR="00F907EB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7º A Secretaria Executiva de Gestão, da Secretaria de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Governo Municipal, poderá implementar ações de caráter preventivo com vistas ao cumprimento dos percentuais mínimos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 xml:space="preserve">previstos no artigo </w:t>
      </w:r>
      <w:r w:rsidRPr="003135A1">
        <w:rPr>
          <w:rFonts w:ascii="Arial" w:hAnsi="Arial" w:cs="Arial"/>
        </w:rPr>
        <w:lastRenderedPageBreak/>
        <w:t>12 da Lei nº 17.708, de 2021, de ocupação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dos cargos em comissão pelos órgãos da Administração Pública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Municipal Direta.</w:t>
      </w:r>
    </w:p>
    <w:p w14:paraId="6288497A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</w:p>
    <w:p w14:paraId="77A3F02E" w14:textId="77777777" w:rsidR="00F907EB" w:rsidRPr="002A6C41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2A6C41">
        <w:rPr>
          <w:rFonts w:ascii="Arial" w:hAnsi="Arial" w:cs="Arial"/>
          <w:b/>
          <w:bCs/>
        </w:rPr>
        <w:t>Seção V</w:t>
      </w:r>
    </w:p>
    <w:p w14:paraId="6741FD02" w14:textId="2177C3DC" w:rsidR="00F907EB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2A6C41">
        <w:rPr>
          <w:rFonts w:ascii="Arial" w:hAnsi="Arial" w:cs="Arial"/>
          <w:b/>
          <w:bCs/>
        </w:rPr>
        <w:t>Das Competências para Nomeação, Exoneração, Designação e Cessação de Designação</w:t>
      </w:r>
    </w:p>
    <w:p w14:paraId="0AA1900A" w14:textId="77777777" w:rsidR="00F907EB" w:rsidRPr="002A6C41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</w:p>
    <w:p w14:paraId="69942FEF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8º Compete ao Prefeito nomear e exonerar os titulares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dos cargos do Quadro de Cargos em Comissão dos Órgãos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da Administração Pública Municipal Direta – QC, bem como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designar e cessar a designação dos titulares das funções de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confiança do Quadro de Funções de Confiança dos Órgãos da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Administração Pública Municipal Direta – QF.</w:t>
      </w:r>
    </w:p>
    <w:p w14:paraId="74FFC77A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Parágrafo único. A competência prevista no “caput” deste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artigo abrange as designações de servidores, nos termos do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artigo 56 da Lei nº 8.989, de 29 de outubro de 1979, para 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exercício de cargos ou funções que comportem substituição 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se encontrem vagos.</w:t>
      </w:r>
    </w:p>
    <w:p w14:paraId="1A128510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</w:p>
    <w:p w14:paraId="1394837E" w14:textId="731F7D30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9º Fica delegada aos Secretários Municipais, ao Procurador Geral do Município e ao Controlador Geral do Município,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no âmbito dos respectivos órgãos, competência para, nos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termos do artigo 54 da Lei nº 8.989, de 1979, designar os substitutos nos impedimentos legais e temporários de titulares de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cargos e funções que comportem substituição.</w:t>
      </w:r>
    </w:p>
    <w:p w14:paraId="4385291A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§ 1º As designações previstas no parágrafo único do artigo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8º deste decreto e no “caput” deste artigo são restritas aos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cargos e funções destinados às atribuições de direção e chefia,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admitindo-se eventuais exceções apenas nas hipóteses em que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reste demonstrada a necessidade de sua formalização para evitar a paralisação dos serviços afetos às unidades ou órgãos aos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quais se vinculem os cargos ou funções, mediante justificativa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devidamente acolhida pelo titular do respectivo órgão.</w:t>
      </w:r>
    </w:p>
    <w:p w14:paraId="6686AA5A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§ 2º Nos impedimentos legais dos titulares de cargo ou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função, somente será permitida a formalização de uma única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substituição, vedadas designações em sequência decorrentes da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substituição inicial.</w:t>
      </w:r>
    </w:p>
    <w:p w14:paraId="57422BB7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§ 3º O substituto deverá atender as mesmas exigências 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condições para a ocupação do cargo em comissão ou função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confiança previstas no artigo 4º deste decreto ou nas Tabelas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“A” a “D” do Anexo II da Lei nº 17.720, de 2021.</w:t>
      </w:r>
    </w:p>
    <w:p w14:paraId="2093F056" w14:textId="53877C92" w:rsidR="00F907EB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§ 4º É facultada aos Secretários Municipais, ao Procurador Geral do Município e ao Controlador Geral do Município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delegar a competência de que trata o “caput” deste artigo, no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âmbito de seus respectivos órgãos.</w:t>
      </w:r>
    </w:p>
    <w:p w14:paraId="0FC2CB01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</w:p>
    <w:p w14:paraId="6677D973" w14:textId="77777777" w:rsidR="00F907EB" w:rsidRPr="002A6C41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2A6C41">
        <w:rPr>
          <w:rFonts w:ascii="Arial" w:hAnsi="Arial" w:cs="Arial"/>
          <w:b/>
          <w:bCs/>
        </w:rPr>
        <w:t>Seção VI</w:t>
      </w:r>
    </w:p>
    <w:p w14:paraId="1EDDF230" w14:textId="3EF2904C" w:rsidR="00F907EB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2A6C41">
        <w:rPr>
          <w:rFonts w:ascii="Arial" w:hAnsi="Arial" w:cs="Arial"/>
          <w:b/>
          <w:bCs/>
        </w:rPr>
        <w:t>Da Reorganização dos Órgãos Municipais</w:t>
      </w:r>
    </w:p>
    <w:p w14:paraId="7A969084" w14:textId="77777777" w:rsidR="00F907EB" w:rsidRPr="002A6C41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</w:p>
    <w:p w14:paraId="43A0D402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10. Os órgãos da Administração Pública Municipal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Direta deverão adequar suas estruturas organizacionais de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forma a acomodar:</w:t>
      </w:r>
    </w:p>
    <w:p w14:paraId="0BF22FE4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 – </w:t>
      </w:r>
      <w:proofErr w:type="gramStart"/>
      <w:r w:rsidRPr="003135A1">
        <w:rPr>
          <w:rFonts w:ascii="Arial" w:hAnsi="Arial" w:cs="Arial"/>
        </w:rPr>
        <w:t>os</w:t>
      </w:r>
      <w:proofErr w:type="gramEnd"/>
      <w:r w:rsidRPr="003135A1">
        <w:rPr>
          <w:rFonts w:ascii="Arial" w:hAnsi="Arial" w:cs="Arial"/>
        </w:rPr>
        <w:t xml:space="preserve"> cargos de provimento em comissão do Quadro de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Cargos em Comissão dos Órgãos da Administração Pública Municipal Direta – QC, nos termos do artigo 15 da Lei nº 17.708,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2021;</w:t>
      </w:r>
    </w:p>
    <w:p w14:paraId="6523E52A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II – </w:t>
      </w:r>
      <w:proofErr w:type="gramStart"/>
      <w:r w:rsidRPr="003135A1">
        <w:rPr>
          <w:rFonts w:ascii="Arial" w:hAnsi="Arial" w:cs="Arial"/>
        </w:rPr>
        <w:t>as</w:t>
      </w:r>
      <w:proofErr w:type="gramEnd"/>
      <w:r w:rsidRPr="003135A1">
        <w:rPr>
          <w:rFonts w:ascii="Arial" w:hAnsi="Arial" w:cs="Arial"/>
        </w:rPr>
        <w:t xml:space="preserve"> funções de confiança do Quadro de Funções de Confiança dos Órgãos da Administração Pública Municipal Direta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– QF, nos termos do artigo 11 da Lei nº 17.720, de 2021, com 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nova redação conferida pela Lei nº 17.727, de 2021.</w:t>
      </w:r>
    </w:p>
    <w:p w14:paraId="2D1B63F6" w14:textId="7D332125" w:rsidR="00F907EB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Parágrafo único. As propostas de reestruturação organizacional deverão ser encaminhadas pelos titulares dos respectivos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órgãos à Secretaria Executiva de Gestão, da Secretaria de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Governo Municipal.</w:t>
      </w:r>
    </w:p>
    <w:p w14:paraId="2D8B78C3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</w:p>
    <w:p w14:paraId="0ED696D5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11. Na formalização das propostas de reorganização,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deverão ser observados, além da ordem hierárquica decrescente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na estrutura de CDA ou FDA, os seguintes parâmetros:</w:t>
      </w:r>
    </w:p>
    <w:p w14:paraId="59652146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 – </w:t>
      </w:r>
      <w:proofErr w:type="gramStart"/>
      <w:r w:rsidRPr="003135A1">
        <w:rPr>
          <w:rFonts w:ascii="Arial" w:hAnsi="Arial" w:cs="Arial"/>
        </w:rPr>
        <w:t>o</w:t>
      </w:r>
      <w:proofErr w:type="gramEnd"/>
      <w:r w:rsidRPr="003135A1">
        <w:rPr>
          <w:rFonts w:ascii="Arial" w:hAnsi="Arial" w:cs="Arial"/>
        </w:rPr>
        <w:t xml:space="preserve"> titular da unidade administrativa é, em sua estrutura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organizacional, o único cargo em comissão ou função de confiança vinculado de maior símbolo;</w:t>
      </w:r>
    </w:p>
    <w:p w14:paraId="17BA679A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lastRenderedPageBreak/>
        <w:t xml:space="preserve">II – </w:t>
      </w:r>
      <w:proofErr w:type="gramStart"/>
      <w:r w:rsidRPr="003135A1">
        <w:rPr>
          <w:rFonts w:ascii="Arial" w:hAnsi="Arial" w:cs="Arial"/>
        </w:rPr>
        <w:t>a</w:t>
      </w:r>
      <w:proofErr w:type="gramEnd"/>
      <w:r w:rsidRPr="003135A1">
        <w:rPr>
          <w:rFonts w:ascii="Arial" w:hAnsi="Arial" w:cs="Arial"/>
        </w:rPr>
        <w:t xml:space="preserve"> quantidade de CDA-unitário e de FDA-unitário estabelecida por órgão;</w:t>
      </w:r>
    </w:p>
    <w:p w14:paraId="65254B5F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III – a discriminação das finalidades do órgão e as atribuições das unidades administrativas;</w:t>
      </w:r>
    </w:p>
    <w:p w14:paraId="62C95FD7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IV – </w:t>
      </w:r>
      <w:proofErr w:type="gramStart"/>
      <w:r w:rsidRPr="003135A1">
        <w:rPr>
          <w:rFonts w:ascii="Arial" w:hAnsi="Arial" w:cs="Arial"/>
        </w:rPr>
        <w:t>as</w:t>
      </w:r>
      <w:proofErr w:type="gramEnd"/>
      <w:r w:rsidRPr="003135A1">
        <w:rPr>
          <w:rFonts w:ascii="Arial" w:hAnsi="Arial" w:cs="Arial"/>
        </w:rPr>
        <w:t xml:space="preserve"> competências dos cargos em comissão constantes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do Anexo II da Lei nº 17.708, de 2021, podendo ser detalhadas,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mediante decreto, quando necessário;</w:t>
      </w:r>
    </w:p>
    <w:p w14:paraId="626E9D42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V – </w:t>
      </w:r>
      <w:proofErr w:type="gramStart"/>
      <w:r w:rsidRPr="003135A1">
        <w:rPr>
          <w:rFonts w:ascii="Arial" w:hAnsi="Arial" w:cs="Arial"/>
        </w:rPr>
        <w:t>a</w:t>
      </w:r>
      <w:proofErr w:type="gramEnd"/>
      <w:r w:rsidRPr="003135A1">
        <w:rPr>
          <w:rFonts w:ascii="Arial" w:hAnsi="Arial" w:cs="Arial"/>
        </w:rPr>
        <w:t xml:space="preserve"> padronização preconizada no artigo 5º deste decreto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para denominar os cargos em comissão e as funções de confiança, sendo facultada a adoção de denominações específicas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em casos pertinentes, conforme proposta do órgão interessado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e análise técnica e jurídica das áreas competentes.</w:t>
      </w:r>
    </w:p>
    <w:p w14:paraId="7612D679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</w:p>
    <w:p w14:paraId="4893EB3B" w14:textId="5AA48F1B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12. Nas propostas de alteração dos quantitativos e da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distribuição de cargos em comissão, sem aumento de despesa,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encaminhadas pelos órgãos da Administração Pública Municipal Direta deverá ser utilizado como referência para o cálculo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da despesa com os cargos em comissão o custo unitário efetivo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expresso em CDA-unitário.</w:t>
      </w:r>
    </w:p>
    <w:p w14:paraId="6DB412BE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Parágrafo único. O CDA-1 será a referência de valor para 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cálculo de CDA-unitário.</w:t>
      </w:r>
    </w:p>
    <w:p w14:paraId="58733674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</w:p>
    <w:p w14:paraId="303FFAD6" w14:textId="4BBACDBA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13. As determinações do artigo 12 deste decreto aplicam-se, no que couber, às propostas de alteração do quantitativo de funções de confiança do Quadro de Funções de Confiança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dos Órgãos da Administração Pública Municipal Direta - QF, observando-se o limite orçamentário em FDA-unitário como valor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referência e tendo o custo unitário efetivo expresso em FDA-unitário como valor de referência para o cálculo de despesa.</w:t>
      </w:r>
    </w:p>
    <w:p w14:paraId="2186A84E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§ 1º O FDA-1 será a referência de valor para o cálculo de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FDA-unitário.</w:t>
      </w:r>
    </w:p>
    <w:p w14:paraId="45F37387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§ 2º As alterações de quantitativo e distribuição de funções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confiança somente se darão entre funções com designação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restrita a integrantes da mesma carreira, observados os requisitos de designação estabelecidos nas tabelas “A” a “D” do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Anexo II da Lei nº 17.720, de 2021, e desde que não acarrete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aumento de despesa.</w:t>
      </w:r>
    </w:p>
    <w:p w14:paraId="40AFFC69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</w:p>
    <w:p w14:paraId="27A3EEEA" w14:textId="56FCF0D5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14. As funções de confiança FDA não poderão ser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transformadas em cargos em comissão CDA e vice-versa.</w:t>
      </w:r>
    </w:p>
    <w:p w14:paraId="6F362358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</w:p>
    <w:p w14:paraId="57115DEC" w14:textId="3A732A9A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15. Na alteração de quantitativos de cargos em comissão de símbolo CDA e de funções de confiança de símbolo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FDA do órgão deverá ser observada a capacidade atual de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atendimento das demandas, vedado o comprometimento da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prestação de serviços.</w:t>
      </w:r>
    </w:p>
    <w:p w14:paraId="3AF5CCD7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</w:p>
    <w:p w14:paraId="504D1B8C" w14:textId="0AF6D92A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16. As propostas atinentes à reestruturação organizacional e à alteração do quantitativo e distribuição dos cargos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em comissão e das funções de confiança dos órgãos somente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serão submetidos à Chefia do Executivo após a observância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dos seguintes procedimentos, sem prejuízo das normas e diretrizes estabelecidas no Decreto nº 58.485, de 24 de outubro de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2018, e de outras eventuais exigências impostas por legislação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específica:</w:t>
      </w:r>
    </w:p>
    <w:p w14:paraId="3926AA85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 – </w:t>
      </w:r>
      <w:proofErr w:type="gramStart"/>
      <w:r w:rsidRPr="003135A1">
        <w:rPr>
          <w:rFonts w:ascii="Arial" w:hAnsi="Arial" w:cs="Arial"/>
        </w:rPr>
        <w:t>encaminhamento</w:t>
      </w:r>
      <w:proofErr w:type="gramEnd"/>
      <w:r w:rsidRPr="003135A1">
        <w:rPr>
          <w:rFonts w:ascii="Arial" w:hAnsi="Arial" w:cs="Arial"/>
        </w:rPr>
        <w:t xml:space="preserve"> de solicitação inicial do órgão interessado à Secretaria Executiva de Gestão, da Secretaria de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Governo Municipal, instruída com:</w:t>
      </w:r>
    </w:p>
    <w:p w14:paraId="1B686FEF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a) justificativa pormenorizada do pedido, considerando 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situação vigente e relacionando a melhoria ou solução a ser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alcançada com a adoção da alteração proposta;</w:t>
      </w:r>
    </w:p>
    <w:p w14:paraId="109ADF78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b) minuta de decreto com a discriminação das unidades 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serem alteradas na estrutura do órgão e respectivas atribuições,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no caso de reestruturação organizacional;</w:t>
      </w:r>
    </w:p>
    <w:p w14:paraId="207BC88D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c) anexo de cargos de provimento em comissão e funções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confiança, especificando as:</w:t>
      </w:r>
    </w:p>
    <w:p w14:paraId="47C9876A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1. denominações atuais e novas;</w:t>
      </w:r>
    </w:p>
    <w:p w14:paraId="195CBE35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2. lotações atuais e novas nas unidades a serem alteradas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na estrutura do órgão;</w:t>
      </w:r>
    </w:p>
    <w:p w14:paraId="15F9C2C9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d) demonstração de ausência de aumento de despesa,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adotando-se o CDA-unitário e/ou o FDA-unitário como valor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referência;</w:t>
      </w:r>
    </w:p>
    <w:p w14:paraId="29B25018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e) parecer da Assessoria Jurídica do órgão proponente,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opinando conclusivamente sobre a adequação da proposta ao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disposto:</w:t>
      </w:r>
    </w:p>
    <w:p w14:paraId="38B76F9A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1. nas Leis nº 17.708, de 2021, e nº 17.720, de 2021;</w:t>
      </w:r>
    </w:p>
    <w:p w14:paraId="70413A56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lastRenderedPageBreak/>
        <w:t>2. nas disposições deste decreto e em outros eventuais atos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normativos subsequentes;</w:t>
      </w:r>
    </w:p>
    <w:p w14:paraId="1167FBD1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II – </w:t>
      </w:r>
      <w:proofErr w:type="gramStart"/>
      <w:r w:rsidRPr="003135A1">
        <w:rPr>
          <w:rFonts w:ascii="Arial" w:hAnsi="Arial" w:cs="Arial"/>
        </w:rPr>
        <w:t>parecer</w:t>
      </w:r>
      <w:proofErr w:type="gramEnd"/>
      <w:r w:rsidRPr="003135A1">
        <w:rPr>
          <w:rFonts w:ascii="Arial" w:hAnsi="Arial" w:cs="Arial"/>
        </w:rPr>
        <w:t xml:space="preserve"> técnico da Coordenadoria de Gestão de Desenvolvimento Institucional – COGEDI, da Secretaria Executiva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Gestão - SEGES, da Secretaria de Governo Municipal, atestando a conformidade técnica da proposta com os elementos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previstos inciso I, alíneas “a” a “e”, do “caput” deste artigo,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bem como a sua adequação às diretrizes de desenvolvimento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institucional fixadas por aquela Secretaria Executiva.</w:t>
      </w:r>
    </w:p>
    <w:p w14:paraId="5D343D17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Parágrafo único. A Secretaria Executiva de Gestão – SEGES,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da Secretaria de Governo Municipal, poderá solicitar a complementação das informações enviadas pelo órgão interessado e 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manifestação de outros órgãos e entidades do Poder Executivo,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modo a melhor fundamentar o parecer a que se refere 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inciso II do “caput” deste artigo.</w:t>
      </w:r>
    </w:p>
    <w:p w14:paraId="221F898B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</w:p>
    <w:p w14:paraId="38189617" w14:textId="02C030DF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17. As propostas relativas à transferência de cargos em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comissão e/ou funções de confiança entre órgãos serão submetidas à Chefia do Executivo após a observância dos mesmos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procedimentos previstos no artigo 16 deste decreto, com exceção da solicitação inicial dos órgãos interessados, que deverá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ser instruída pelo órgão de destino com:</w:t>
      </w:r>
    </w:p>
    <w:p w14:paraId="2242B810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 - </w:t>
      </w:r>
      <w:proofErr w:type="gramStart"/>
      <w:r w:rsidRPr="003135A1">
        <w:rPr>
          <w:rFonts w:ascii="Arial" w:hAnsi="Arial" w:cs="Arial"/>
        </w:rPr>
        <w:t>declaração</w:t>
      </w:r>
      <w:proofErr w:type="gramEnd"/>
      <w:r w:rsidRPr="003135A1">
        <w:rPr>
          <w:rFonts w:ascii="Arial" w:hAnsi="Arial" w:cs="Arial"/>
        </w:rPr>
        <w:t xml:space="preserve"> de anuência do órgão de origem dos cargos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provimento em comissão e/ou funções de confiança;</w:t>
      </w:r>
    </w:p>
    <w:p w14:paraId="749C1121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II – </w:t>
      </w:r>
      <w:proofErr w:type="gramStart"/>
      <w:r w:rsidRPr="003135A1">
        <w:rPr>
          <w:rFonts w:ascii="Arial" w:hAnsi="Arial" w:cs="Arial"/>
        </w:rPr>
        <w:t>tabela</w:t>
      </w:r>
      <w:proofErr w:type="gramEnd"/>
      <w:r w:rsidRPr="003135A1">
        <w:rPr>
          <w:rFonts w:ascii="Arial" w:hAnsi="Arial" w:cs="Arial"/>
        </w:rPr>
        <w:t xml:space="preserve"> discriminando símbolo, denominação, lotação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e quantidade de CDA-unitário e/ou FDA-unitário dos cargos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provimento em comissão e/ou das funções de confiança 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serem transferidos do órgão de origem para o órgão de destino.</w:t>
      </w:r>
    </w:p>
    <w:p w14:paraId="3EE9803D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</w:p>
    <w:p w14:paraId="224A1E98" w14:textId="2EEC6B9F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18. A análise e aprovação técnica de estruturas organizacionais e o acompanhamento dos quantitativos de cargos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provimento em comissão e de funções de confiança, no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âmbito da Administração Pública Municipal Direta, competem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à Secretaria Executiva de Gestão – SEGES, da Secretaria de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Governo Municipal.</w:t>
      </w:r>
    </w:p>
    <w:p w14:paraId="10846D96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Parágrafo único. Os processos em desacordo com as orientações fixadas neste decreto serão restituídos ao órgão interessado para retificação ou complementação das informações.</w:t>
      </w:r>
    </w:p>
    <w:p w14:paraId="7D8563D3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</w:p>
    <w:p w14:paraId="436CC818" w14:textId="1EE976F5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19. Compete à Secretaria Executiva de Gestão – SEGES,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da Secretaria de Governo Municipal, por meio da Coordenadoria de Gestão de Desenvolvimento Institucional – COGEDI, no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âmbito da Administração Pública Municipal Direta, o acompanhamento e monitoramento:</w:t>
      </w:r>
    </w:p>
    <w:p w14:paraId="3F4507D3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 – </w:t>
      </w:r>
      <w:proofErr w:type="gramStart"/>
      <w:r w:rsidRPr="003135A1">
        <w:rPr>
          <w:rFonts w:ascii="Arial" w:hAnsi="Arial" w:cs="Arial"/>
        </w:rPr>
        <w:t>da</w:t>
      </w:r>
      <w:proofErr w:type="gramEnd"/>
      <w:r w:rsidRPr="003135A1">
        <w:rPr>
          <w:rFonts w:ascii="Arial" w:hAnsi="Arial" w:cs="Arial"/>
        </w:rPr>
        <w:t xml:space="preserve"> distribuição dos </w:t>
      </w:r>
      <w:proofErr w:type="spellStart"/>
      <w:r w:rsidRPr="003135A1">
        <w:rPr>
          <w:rFonts w:ascii="Arial" w:hAnsi="Arial" w:cs="Arial"/>
        </w:rPr>
        <w:t>CDAs</w:t>
      </w:r>
      <w:proofErr w:type="spellEnd"/>
      <w:r w:rsidRPr="003135A1">
        <w:rPr>
          <w:rFonts w:ascii="Arial" w:hAnsi="Arial" w:cs="Arial"/>
        </w:rPr>
        <w:t xml:space="preserve">-unitários e </w:t>
      </w:r>
      <w:proofErr w:type="spellStart"/>
      <w:r w:rsidRPr="003135A1">
        <w:rPr>
          <w:rFonts w:ascii="Arial" w:hAnsi="Arial" w:cs="Arial"/>
        </w:rPr>
        <w:t>FDAs</w:t>
      </w:r>
      <w:proofErr w:type="spellEnd"/>
      <w:r w:rsidRPr="003135A1">
        <w:rPr>
          <w:rFonts w:ascii="Arial" w:hAnsi="Arial" w:cs="Arial"/>
        </w:rPr>
        <w:t>-unitários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por órgão;</w:t>
      </w:r>
    </w:p>
    <w:p w14:paraId="564A11F4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II – </w:t>
      </w:r>
      <w:proofErr w:type="gramStart"/>
      <w:r w:rsidRPr="003135A1">
        <w:rPr>
          <w:rFonts w:ascii="Arial" w:hAnsi="Arial" w:cs="Arial"/>
        </w:rPr>
        <w:t>da</w:t>
      </w:r>
      <w:proofErr w:type="gramEnd"/>
      <w:r w:rsidRPr="003135A1">
        <w:rPr>
          <w:rFonts w:ascii="Arial" w:hAnsi="Arial" w:cs="Arial"/>
        </w:rPr>
        <w:t xml:space="preserve"> alteração dos quantitativos de CDA e FDA por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órgão;</w:t>
      </w:r>
    </w:p>
    <w:p w14:paraId="729F917C" w14:textId="01539928" w:rsidR="00F907EB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III – dos percentuais mínimos de ocupação dos cargos de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provimento em comissão por servidores.</w:t>
      </w:r>
    </w:p>
    <w:p w14:paraId="7F273E9D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</w:p>
    <w:p w14:paraId="6E9D25B3" w14:textId="77777777" w:rsidR="00F907EB" w:rsidRPr="001C6AAB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1C6AAB">
        <w:rPr>
          <w:rFonts w:ascii="Arial" w:hAnsi="Arial" w:cs="Arial"/>
          <w:b/>
          <w:bCs/>
        </w:rPr>
        <w:t>CAPÍTULO III</w:t>
      </w:r>
    </w:p>
    <w:p w14:paraId="1DBC3459" w14:textId="77777777" w:rsidR="00F907EB" w:rsidRPr="001C6AAB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1C6AAB">
        <w:rPr>
          <w:rFonts w:ascii="Arial" w:hAnsi="Arial" w:cs="Arial"/>
          <w:b/>
          <w:bCs/>
        </w:rPr>
        <w:t>DA ADMINISTRAÇÃO PÚBLICA MUNICIPAL INDIRETA</w:t>
      </w:r>
    </w:p>
    <w:p w14:paraId="5830F899" w14:textId="77777777" w:rsidR="00F907EB" w:rsidRPr="001C6AAB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1C6AAB">
        <w:rPr>
          <w:rFonts w:ascii="Arial" w:hAnsi="Arial" w:cs="Arial"/>
          <w:b/>
          <w:bCs/>
        </w:rPr>
        <w:t>Seção I</w:t>
      </w:r>
    </w:p>
    <w:p w14:paraId="69BDDD3F" w14:textId="1F99F7E3" w:rsidR="00F907EB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1C6AAB">
        <w:rPr>
          <w:rFonts w:ascii="Arial" w:hAnsi="Arial" w:cs="Arial"/>
          <w:b/>
          <w:bCs/>
        </w:rPr>
        <w:t>Da abrangência</w:t>
      </w:r>
    </w:p>
    <w:p w14:paraId="70C77F3A" w14:textId="77777777" w:rsidR="00F907EB" w:rsidRPr="001C6AAB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</w:p>
    <w:p w14:paraId="33DDA7A8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20. As disposições deste decreto referentes aos cargos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provimento em comissão de símbolo CDA, do Quadro de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Cargos em Comissão dos Órgãos da Administração Pública Municipal Direta – QC, aplicam-se, no que couber, aos cargos de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provimento em comissão criados pela Lei nº 17.720, de 2021,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no Instituto de Previdência Municipal de São Paulo – IPREM, no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Hospital do Servidor Público Municipal – HSPM, na Fundação</w:t>
      </w:r>
      <w:r>
        <w:rPr>
          <w:rFonts w:ascii="Arial" w:hAnsi="Arial" w:cs="Arial"/>
        </w:rPr>
        <w:t xml:space="preserve"> </w:t>
      </w:r>
      <w:proofErr w:type="spellStart"/>
      <w:r w:rsidRPr="003135A1">
        <w:rPr>
          <w:rFonts w:ascii="Arial" w:hAnsi="Arial" w:cs="Arial"/>
        </w:rPr>
        <w:t>Theatro</w:t>
      </w:r>
      <w:proofErr w:type="spellEnd"/>
      <w:r w:rsidRPr="003135A1">
        <w:rPr>
          <w:rFonts w:ascii="Arial" w:hAnsi="Arial" w:cs="Arial"/>
        </w:rPr>
        <w:t xml:space="preserve"> Municipal de São Paulo e na Fundação Paulistana de</w:t>
      </w:r>
    </w:p>
    <w:p w14:paraId="5975B5D7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Educação, Tecnologia e Cultura – Fundação Paulistana, da Administração Pública Municipal Indireta.</w:t>
      </w:r>
    </w:p>
    <w:p w14:paraId="3E348F51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</w:p>
    <w:p w14:paraId="13CDE2D5" w14:textId="3068C404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21. As entidades da Administração Pública Municipal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Indireta referidas no artigo 20 deste decreto deverão adequar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suas estruturas organizacionais e acomodar os cargos de provimento em comissão símbolo CDA, nos termos do artigo 17 da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Lei nº 17.720, de 2021.</w:t>
      </w:r>
    </w:p>
    <w:p w14:paraId="5C83C42B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lastRenderedPageBreak/>
        <w:t>Parágrafo único. As propostas de reestruturação organizacional deverão ser encaminhadas à Secretaria Executiva de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Gestão, da Secretaria de Governo Municipal.</w:t>
      </w:r>
    </w:p>
    <w:p w14:paraId="7C9EE8BF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</w:p>
    <w:p w14:paraId="460987B4" w14:textId="016AE34E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22. A padronização das denominações dos cargos de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provimento em comissão prevista no artigo 5º deste decreto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aplica-se às entidades elencadas no artigo 20 deste decreto.</w:t>
      </w:r>
    </w:p>
    <w:p w14:paraId="6672E563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</w:p>
    <w:p w14:paraId="76A7D54F" w14:textId="7753D72E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Art. 23. O IPREM, o HSPM, a Fundação </w:t>
      </w:r>
      <w:proofErr w:type="spellStart"/>
      <w:r w:rsidRPr="003135A1">
        <w:rPr>
          <w:rFonts w:ascii="Arial" w:hAnsi="Arial" w:cs="Arial"/>
        </w:rPr>
        <w:t>Theatro</w:t>
      </w:r>
      <w:proofErr w:type="spellEnd"/>
      <w:r w:rsidRPr="003135A1">
        <w:rPr>
          <w:rFonts w:ascii="Arial" w:hAnsi="Arial" w:cs="Arial"/>
        </w:rPr>
        <w:t xml:space="preserve"> Municipal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São Paulo e a Fundação Paulistana deverão se adequar, até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31 de dezembro de 2022, aos percentuais mínimos de ocupação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cargos em comissão por servidores, na conformidade do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disposto no artigo 15 da Lei nº 17.720, de 2021.</w:t>
      </w:r>
    </w:p>
    <w:p w14:paraId="3149B02D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</w:p>
    <w:p w14:paraId="1FAF3E7F" w14:textId="60D6F389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24. Os Superintendentes do Instituto de Previdência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Municipal de São Paulo – IPREM e do Hospital do Servidor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Público Municipal – HSPM, bem como os Diretores Gerais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 xml:space="preserve">da Fundação </w:t>
      </w:r>
      <w:proofErr w:type="spellStart"/>
      <w:r w:rsidRPr="003135A1">
        <w:rPr>
          <w:rFonts w:ascii="Arial" w:hAnsi="Arial" w:cs="Arial"/>
        </w:rPr>
        <w:t>Theatro</w:t>
      </w:r>
      <w:proofErr w:type="spellEnd"/>
      <w:r w:rsidRPr="003135A1">
        <w:rPr>
          <w:rFonts w:ascii="Arial" w:hAnsi="Arial" w:cs="Arial"/>
        </w:rPr>
        <w:t xml:space="preserve"> Municipal de São Paulo e da Fundação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Paulistana de Educação, Tecnologia e Cultura – Fundação Paulistana, no âmbito das respectivas entidades, são responsáveis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pela observância e cumprimento dos percentuais de ocupação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cargos em comissão por servidores de que trata o artigo 15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da Lei nº 17.720, de 2021.</w:t>
      </w:r>
    </w:p>
    <w:p w14:paraId="20FD5F49" w14:textId="72F88D47" w:rsidR="00F907EB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Parágrafo único. O responsável pela área de gestão de pessoas, no âmbito de sua atuação, deverá acompanhar a ocupação dos cargos em comissão e fornecer, ao titular da entidade à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qual se vincule, orientações e subsídios para o cumprimento dos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percentuais de que trata o “caput” deste artigo.</w:t>
      </w:r>
    </w:p>
    <w:p w14:paraId="4450E251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</w:p>
    <w:p w14:paraId="333D427F" w14:textId="77777777" w:rsidR="00F907EB" w:rsidRPr="001C6AAB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1C6AAB">
        <w:rPr>
          <w:rFonts w:ascii="Arial" w:hAnsi="Arial" w:cs="Arial"/>
          <w:b/>
          <w:bCs/>
        </w:rPr>
        <w:t>CAPÍTULO IV</w:t>
      </w:r>
    </w:p>
    <w:p w14:paraId="502CC6D8" w14:textId="6E070B46" w:rsidR="00F907EB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1C6AAB">
        <w:rPr>
          <w:rFonts w:ascii="Arial" w:hAnsi="Arial" w:cs="Arial"/>
          <w:b/>
          <w:bCs/>
        </w:rPr>
        <w:t>DA IMPLEMENTAÇÃO E TRANSIÇÃO</w:t>
      </w:r>
    </w:p>
    <w:p w14:paraId="1F487212" w14:textId="77777777" w:rsidR="00F907EB" w:rsidRPr="001C6AAB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</w:p>
    <w:p w14:paraId="60D53BF6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25. O período de transição, compreendido a partir da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extinção de cargos em comissão e funções de confiança de que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tratam os artigos 13 e 14 da Lei 17.708, de 2021, e o artigo 10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da Lei 17.720, de 2 de dezembro de 2021, e até a implementação do Quadro de Cargos em Comissão dos Órgãos da Administração Pública Municipal Direta – QC e do Quadro de Funções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Confiança dos Órgãos da Administração Pública Municipal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Direta – QF, dar-se-á de forma escalonada entre as Secretarias</w:t>
      </w:r>
    </w:p>
    <w:p w14:paraId="6F6A30FE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Municipais, com início a contar de 3 de maio de 2022.</w:t>
      </w:r>
    </w:p>
    <w:p w14:paraId="53DD6F3A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</w:p>
    <w:p w14:paraId="57E67E4D" w14:textId="394CD6E9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26. A Secretaria Executiva de Gestão, da Secretaria de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Governo Municipal, expedirá diretrizes e orientações complementares quanto:</w:t>
      </w:r>
    </w:p>
    <w:p w14:paraId="40883DE5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 – </w:t>
      </w:r>
      <w:proofErr w:type="gramStart"/>
      <w:r w:rsidRPr="003135A1">
        <w:rPr>
          <w:rFonts w:ascii="Arial" w:hAnsi="Arial" w:cs="Arial"/>
        </w:rPr>
        <w:t>ao</w:t>
      </w:r>
      <w:proofErr w:type="gramEnd"/>
      <w:r w:rsidRPr="003135A1">
        <w:rPr>
          <w:rFonts w:ascii="Arial" w:hAnsi="Arial" w:cs="Arial"/>
        </w:rPr>
        <w:t xml:space="preserve"> cronograma de escalonamento de envio de propostas de reorganização dos órgãos da Administração Pública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Municipal Direta;</w:t>
      </w:r>
    </w:p>
    <w:p w14:paraId="45BB3F93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II – </w:t>
      </w:r>
      <w:proofErr w:type="gramStart"/>
      <w:r w:rsidRPr="003135A1">
        <w:rPr>
          <w:rFonts w:ascii="Arial" w:hAnsi="Arial" w:cs="Arial"/>
        </w:rPr>
        <w:t>às</w:t>
      </w:r>
      <w:proofErr w:type="gramEnd"/>
      <w:r w:rsidRPr="003135A1">
        <w:rPr>
          <w:rFonts w:ascii="Arial" w:hAnsi="Arial" w:cs="Arial"/>
        </w:rPr>
        <w:t xml:space="preserve"> atribuições e perfil dos componentes dos grupos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trabalho;</w:t>
      </w:r>
    </w:p>
    <w:p w14:paraId="3B82CBE2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III – ao cumprimento de percentuais mínimos de ocupação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cargos em comissão por servidores;</w:t>
      </w:r>
    </w:p>
    <w:p w14:paraId="23D48302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IV – </w:t>
      </w:r>
      <w:proofErr w:type="gramStart"/>
      <w:r w:rsidRPr="003135A1">
        <w:rPr>
          <w:rFonts w:ascii="Arial" w:hAnsi="Arial" w:cs="Arial"/>
        </w:rPr>
        <w:t>ao</w:t>
      </w:r>
      <w:proofErr w:type="gramEnd"/>
      <w:r w:rsidRPr="003135A1">
        <w:rPr>
          <w:rFonts w:ascii="Arial" w:hAnsi="Arial" w:cs="Arial"/>
        </w:rPr>
        <w:t xml:space="preserve"> anexo de distribuição e de alteração de quantitativo de cargos em comissão e funções de confiança que demonstre não haver aumento de despesa;</w:t>
      </w:r>
    </w:p>
    <w:p w14:paraId="2AB29867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V - </w:t>
      </w:r>
      <w:proofErr w:type="gramStart"/>
      <w:r w:rsidRPr="003135A1">
        <w:rPr>
          <w:rFonts w:ascii="Arial" w:hAnsi="Arial" w:cs="Arial"/>
        </w:rPr>
        <w:t>ao</w:t>
      </w:r>
      <w:proofErr w:type="gramEnd"/>
      <w:r w:rsidRPr="003135A1">
        <w:rPr>
          <w:rFonts w:ascii="Arial" w:hAnsi="Arial" w:cs="Arial"/>
        </w:rPr>
        <w:t xml:space="preserve"> anexo de transferência de </w:t>
      </w:r>
      <w:proofErr w:type="spellStart"/>
      <w:r w:rsidRPr="003135A1">
        <w:rPr>
          <w:rFonts w:ascii="Arial" w:hAnsi="Arial" w:cs="Arial"/>
        </w:rPr>
        <w:t>CDAs</w:t>
      </w:r>
      <w:proofErr w:type="spellEnd"/>
      <w:r w:rsidRPr="003135A1">
        <w:rPr>
          <w:rFonts w:ascii="Arial" w:hAnsi="Arial" w:cs="Arial"/>
        </w:rPr>
        <w:t xml:space="preserve"> e </w:t>
      </w:r>
      <w:proofErr w:type="spellStart"/>
      <w:r w:rsidRPr="003135A1">
        <w:rPr>
          <w:rFonts w:ascii="Arial" w:hAnsi="Arial" w:cs="Arial"/>
        </w:rPr>
        <w:t>FDAs</w:t>
      </w:r>
      <w:proofErr w:type="spellEnd"/>
      <w:r w:rsidRPr="003135A1">
        <w:rPr>
          <w:rFonts w:ascii="Arial" w:hAnsi="Arial" w:cs="Arial"/>
        </w:rPr>
        <w:t xml:space="preserve"> entre órgãos.</w:t>
      </w:r>
    </w:p>
    <w:p w14:paraId="49E93E55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</w:p>
    <w:p w14:paraId="208D757F" w14:textId="7100E1F4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27. Fica vedado, em cada órgão da Administração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Pública Municipal Direta, o exercício concomitantemente de:</w:t>
      </w:r>
    </w:p>
    <w:p w14:paraId="6DE146F3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 - </w:t>
      </w:r>
      <w:proofErr w:type="gramStart"/>
      <w:r w:rsidRPr="003135A1">
        <w:rPr>
          <w:rFonts w:ascii="Arial" w:hAnsi="Arial" w:cs="Arial"/>
        </w:rPr>
        <w:t>cargos</w:t>
      </w:r>
      <w:proofErr w:type="gramEnd"/>
      <w:r w:rsidRPr="003135A1">
        <w:rPr>
          <w:rFonts w:ascii="Arial" w:hAnsi="Arial" w:cs="Arial"/>
        </w:rPr>
        <w:t xml:space="preserve"> em comissão de referência DAI, DAS, CA e CG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com os de símbolo CDA;</w:t>
      </w:r>
    </w:p>
    <w:p w14:paraId="766BD2DB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II – </w:t>
      </w:r>
      <w:proofErr w:type="gramStart"/>
      <w:r w:rsidRPr="003135A1">
        <w:rPr>
          <w:rFonts w:ascii="Arial" w:hAnsi="Arial" w:cs="Arial"/>
        </w:rPr>
        <w:t>funções</w:t>
      </w:r>
      <w:proofErr w:type="gramEnd"/>
      <w:r w:rsidRPr="003135A1">
        <w:rPr>
          <w:rFonts w:ascii="Arial" w:hAnsi="Arial" w:cs="Arial"/>
        </w:rPr>
        <w:t xml:space="preserve"> de confiança de símbolo PRA, ATC e FGC com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as de símbolo FDA ou com cargos em comissão de símbolo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CDA.</w:t>
      </w:r>
    </w:p>
    <w:p w14:paraId="2185220F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§ 1º Excepcionalmente, fica permitida a ocorrência das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hipóteses de exercício concomitante previstas no “caput” deste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artigo:</w:t>
      </w:r>
    </w:p>
    <w:p w14:paraId="0B784EBA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 - </w:t>
      </w:r>
      <w:proofErr w:type="gramStart"/>
      <w:r w:rsidRPr="003135A1">
        <w:rPr>
          <w:rFonts w:ascii="Arial" w:hAnsi="Arial" w:cs="Arial"/>
        </w:rPr>
        <w:t>durante</w:t>
      </w:r>
      <w:proofErr w:type="gramEnd"/>
      <w:r w:rsidRPr="003135A1">
        <w:rPr>
          <w:rFonts w:ascii="Arial" w:hAnsi="Arial" w:cs="Arial"/>
        </w:rPr>
        <w:t xml:space="preserve"> o período de implementação dos novos quadros,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por até 30 dias, contados da data da publicação do decreto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específico que disporá, no âmbito de cada órgão da Administração Pública Municipal Direta, sobre a acomodação dos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cargos em comissão de símbolo CDA e funções de confiança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símbolo FDA;</w:t>
      </w:r>
    </w:p>
    <w:p w14:paraId="2170EEAB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lastRenderedPageBreak/>
        <w:t xml:space="preserve">II – </w:t>
      </w:r>
      <w:proofErr w:type="gramStart"/>
      <w:r w:rsidRPr="003135A1">
        <w:rPr>
          <w:rFonts w:ascii="Arial" w:hAnsi="Arial" w:cs="Arial"/>
        </w:rPr>
        <w:t>nos</w:t>
      </w:r>
      <w:proofErr w:type="gramEnd"/>
      <w:r w:rsidRPr="003135A1">
        <w:rPr>
          <w:rFonts w:ascii="Arial" w:hAnsi="Arial" w:cs="Arial"/>
        </w:rPr>
        <w:t xml:space="preserve"> casos de impedimento legal a que se refere o § 2º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do artigo 29 deste decreto.</w:t>
      </w:r>
    </w:p>
    <w:p w14:paraId="0480D956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§ 2º O prazo estabelecido no inciso I do § 1º deste artigo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poderá ser estendido, mediante justificativa, por ato do titular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órgão da Administração Pública Municipal Direta.</w:t>
      </w:r>
    </w:p>
    <w:p w14:paraId="3DB3841A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</w:p>
    <w:p w14:paraId="5E1E6918" w14:textId="140923EA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28. Para que não haja interrupção na prestação dos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serviços, os órgãos da Administração Pública Municipal Direta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deverão providenciar e zelar pelo encaminhamento célere dos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seguintes atos:</w:t>
      </w:r>
    </w:p>
    <w:p w14:paraId="4FB2A80B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 – </w:t>
      </w:r>
      <w:proofErr w:type="gramStart"/>
      <w:r w:rsidRPr="003135A1">
        <w:rPr>
          <w:rFonts w:ascii="Arial" w:hAnsi="Arial" w:cs="Arial"/>
        </w:rPr>
        <w:t>de</w:t>
      </w:r>
      <w:proofErr w:type="gramEnd"/>
      <w:r w:rsidRPr="003135A1">
        <w:rPr>
          <w:rFonts w:ascii="Arial" w:hAnsi="Arial" w:cs="Arial"/>
        </w:rPr>
        <w:t xml:space="preserve"> exoneração dos ocupantes de cargos em comissão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referências DAI, DAS, CA e CG;</w:t>
      </w:r>
    </w:p>
    <w:p w14:paraId="13E57E2C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II – </w:t>
      </w:r>
      <w:proofErr w:type="gramStart"/>
      <w:r w:rsidRPr="003135A1">
        <w:rPr>
          <w:rFonts w:ascii="Arial" w:hAnsi="Arial" w:cs="Arial"/>
        </w:rPr>
        <w:t>de</w:t>
      </w:r>
      <w:proofErr w:type="gramEnd"/>
      <w:r w:rsidRPr="003135A1">
        <w:rPr>
          <w:rFonts w:ascii="Arial" w:hAnsi="Arial" w:cs="Arial"/>
        </w:rPr>
        <w:t xml:space="preserve"> cessação de designações para o exercício de cargos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em comissão de referências DAI, DAS, CA e CG, quando estejam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vagos ou nos impedimentos legais dos respectivos titulares;</w:t>
      </w:r>
    </w:p>
    <w:p w14:paraId="66261F18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III – de cessação das designações dos ocupantes das funções de confiança de símbolo PRA, ATC e FGC;</w:t>
      </w:r>
    </w:p>
    <w:p w14:paraId="5F83D600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IV – </w:t>
      </w:r>
      <w:proofErr w:type="gramStart"/>
      <w:r w:rsidRPr="003135A1">
        <w:rPr>
          <w:rFonts w:ascii="Arial" w:hAnsi="Arial" w:cs="Arial"/>
        </w:rPr>
        <w:t>de</w:t>
      </w:r>
      <w:proofErr w:type="gramEnd"/>
      <w:r w:rsidRPr="003135A1">
        <w:rPr>
          <w:rFonts w:ascii="Arial" w:hAnsi="Arial" w:cs="Arial"/>
        </w:rPr>
        <w:t xml:space="preserve"> nomeação para o exercício de cargos de provimento em comissão de símbolo CDA;</w:t>
      </w:r>
    </w:p>
    <w:p w14:paraId="5FB5A89F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 xml:space="preserve">V – </w:t>
      </w:r>
      <w:proofErr w:type="gramStart"/>
      <w:r w:rsidRPr="003135A1">
        <w:rPr>
          <w:rFonts w:ascii="Arial" w:hAnsi="Arial" w:cs="Arial"/>
        </w:rPr>
        <w:t>de</w:t>
      </w:r>
      <w:proofErr w:type="gramEnd"/>
      <w:r w:rsidRPr="003135A1">
        <w:rPr>
          <w:rFonts w:ascii="Arial" w:hAnsi="Arial" w:cs="Arial"/>
        </w:rPr>
        <w:t xml:space="preserve"> designação para o exercício de funções de confiança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símbolo FDA.</w:t>
      </w:r>
    </w:p>
    <w:p w14:paraId="5712C7CF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§ 1º A extinção de cargos e funções, nos termos dos artigos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13 e 14 da Lei nº 17.708, de 2021, e dos artigos 10 e 16 da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Lei 17.720, de 2021, será efetivada a partir da publicação dos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atos de exoneração e cessação de designação no Diário Oficial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da Cidade.</w:t>
      </w:r>
    </w:p>
    <w:p w14:paraId="06882732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§ 2º Nos casos de impedimento legal, a exoneração dos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ocupantes de cargos de referências DAI e DAS, bem como 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cessação da designação dos ocupantes de função de confiança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referências PRA, ATC e FGC, dar-se-á na data do término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da situação impeditiva, com a imediata publicação do ato de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desligamento no Diário Oficial da Cidade.</w:t>
      </w:r>
    </w:p>
    <w:p w14:paraId="30545838" w14:textId="2ADFA6D9" w:rsidR="00F907EB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§ 3º Os atos referidos nos incisos I a V do “caput” deste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artigo deverão ser publicados imediatamente à edição dos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respectivos decretos de acomodação dos cargos em comissão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de símbolo CDA e funções de confiança de FDA.</w:t>
      </w:r>
    </w:p>
    <w:p w14:paraId="61109EA8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</w:p>
    <w:p w14:paraId="2EC938E2" w14:textId="77777777" w:rsidR="00F907EB" w:rsidRPr="001C6AAB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1C6AAB">
        <w:rPr>
          <w:rFonts w:ascii="Arial" w:hAnsi="Arial" w:cs="Arial"/>
          <w:b/>
          <w:bCs/>
        </w:rPr>
        <w:t>CAPÍTULO V</w:t>
      </w:r>
    </w:p>
    <w:p w14:paraId="7897F616" w14:textId="55A38C57" w:rsidR="00F907EB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  <w:r w:rsidRPr="001C6AAB">
        <w:rPr>
          <w:rFonts w:ascii="Arial" w:hAnsi="Arial" w:cs="Arial"/>
          <w:b/>
          <w:bCs/>
        </w:rPr>
        <w:t>DISPOSIÇÕES FINAIS</w:t>
      </w:r>
    </w:p>
    <w:p w14:paraId="7E4BC25D" w14:textId="77777777" w:rsidR="00F907EB" w:rsidRPr="001C6AAB" w:rsidRDefault="00F907EB" w:rsidP="00F907EB">
      <w:pPr>
        <w:spacing w:after="0"/>
        <w:jc w:val="center"/>
        <w:rPr>
          <w:rFonts w:ascii="Arial" w:hAnsi="Arial" w:cs="Arial"/>
          <w:b/>
          <w:bCs/>
        </w:rPr>
      </w:pPr>
    </w:p>
    <w:p w14:paraId="78C8AED6" w14:textId="77777777" w:rsidR="00F907EB" w:rsidRPr="003135A1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29. O Quadro de Cargos em Comissão dos Órgãos da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Administração Pública Municipal Direta – QC, constante do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Anexo I da Lei nº 17.708, de 2021, fica com o quantitativo e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 xml:space="preserve">a distribuição dos </w:t>
      </w:r>
      <w:proofErr w:type="spellStart"/>
      <w:r w:rsidRPr="003135A1">
        <w:rPr>
          <w:rFonts w:ascii="Arial" w:hAnsi="Arial" w:cs="Arial"/>
        </w:rPr>
        <w:t>CDAs</w:t>
      </w:r>
      <w:proofErr w:type="spellEnd"/>
      <w:r w:rsidRPr="003135A1">
        <w:rPr>
          <w:rFonts w:ascii="Arial" w:hAnsi="Arial" w:cs="Arial"/>
        </w:rPr>
        <w:t xml:space="preserve"> alterados na conformidade da coluna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“Situação Nova” do Anexo II deste decreto.</w:t>
      </w:r>
    </w:p>
    <w:p w14:paraId="486D2931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</w:p>
    <w:p w14:paraId="7E39B20C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  <w:r w:rsidRPr="003135A1">
        <w:rPr>
          <w:rFonts w:ascii="Arial" w:hAnsi="Arial" w:cs="Arial"/>
        </w:rPr>
        <w:t>Art. 30. Este decreto entrará em vigor na data de sua</w:t>
      </w:r>
      <w:r>
        <w:rPr>
          <w:rFonts w:ascii="Arial" w:hAnsi="Arial" w:cs="Arial"/>
        </w:rPr>
        <w:t xml:space="preserve"> </w:t>
      </w:r>
      <w:r w:rsidRPr="003135A1">
        <w:rPr>
          <w:rFonts w:ascii="Arial" w:hAnsi="Arial" w:cs="Arial"/>
        </w:rPr>
        <w:t>publicação.</w:t>
      </w:r>
      <w:r w:rsidRPr="003135A1">
        <w:rPr>
          <w:rFonts w:ascii="Arial" w:hAnsi="Arial" w:cs="Arial"/>
        </w:rPr>
        <w:cr/>
      </w:r>
    </w:p>
    <w:p w14:paraId="45E849E5" w14:textId="1ED2209C" w:rsidR="00F907EB" w:rsidRPr="003135A1" w:rsidRDefault="00F907EB" w:rsidP="00F907E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135A1">
        <w:rPr>
          <w:rFonts w:ascii="Arial" w:hAnsi="Arial" w:cs="Arial"/>
          <w:sz w:val="18"/>
          <w:szCs w:val="18"/>
        </w:rPr>
        <w:t>PREFEITURA DO MUNICÍPIO DE SÃO PAULO, em 20 de abril</w:t>
      </w:r>
      <w:r>
        <w:rPr>
          <w:rFonts w:ascii="Arial" w:hAnsi="Arial" w:cs="Arial"/>
          <w:sz w:val="18"/>
          <w:szCs w:val="18"/>
        </w:rPr>
        <w:t xml:space="preserve"> </w:t>
      </w:r>
      <w:r w:rsidRPr="003135A1">
        <w:rPr>
          <w:rFonts w:ascii="Arial" w:hAnsi="Arial" w:cs="Arial"/>
          <w:sz w:val="18"/>
          <w:szCs w:val="18"/>
        </w:rPr>
        <w:t>de 2022, 469º da Fundação de São Paulo.</w:t>
      </w:r>
    </w:p>
    <w:p w14:paraId="7B679D4C" w14:textId="77777777" w:rsidR="00F907EB" w:rsidRPr="003135A1" w:rsidRDefault="00F907EB" w:rsidP="00F907E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135A1">
        <w:rPr>
          <w:rFonts w:ascii="Arial" w:hAnsi="Arial" w:cs="Arial"/>
          <w:sz w:val="18"/>
          <w:szCs w:val="18"/>
        </w:rPr>
        <w:t>RICARDO NUNES, PREFEITO</w:t>
      </w:r>
    </w:p>
    <w:p w14:paraId="510A54E9" w14:textId="77777777" w:rsidR="00F907EB" w:rsidRPr="003135A1" w:rsidRDefault="00F907EB" w:rsidP="00F907E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135A1">
        <w:rPr>
          <w:rFonts w:ascii="Arial" w:hAnsi="Arial" w:cs="Arial"/>
          <w:sz w:val="18"/>
          <w:szCs w:val="18"/>
        </w:rPr>
        <w:t>FABRICIO COBRA ARBEX, Secretário Municipal da Casa</w:t>
      </w:r>
      <w:r>
        <w:rPr>
          <w:rFonts w:ascii="Arial" w:hAnsi="Arial" w:cs="Arial"/>
          <w:sz w:val="18"/>
          <w:szCs w:val="18"/>
        </w:rPr>
        <w:t xml:space="preserve"> </w:t>
      </w:r>
      <w:r w:rsidRPr="003135A1">
        <w:rPr>
          <w:rFonts w:ascii="Arial" w:hAnsi="Arial" w:cs="Arial"/>
          <w:sz w:val="18"/>
          <w:szCs w:val="18"/>
        </w:rPr>
        <w:t>Civil</w:t>
      </w:r>
    </w:p>
    <w:p w14:paraId="1468427E" w14:textId="77777777" w:rsidR="00F907EB" w:rsidRPr="003135A1" w:rsidRDefault="00F907EB" w:rsidP="00F907E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135A1">
        <w:rPr>
          <w:rFonts w:ascii="Arial" w:hAnsi="Arial" w:cs="Arial"/>
          <w:sz w:val="18"/>
          <w:szCs w:val="18"/>
        </w:rPr>
        <w:t>EUNICE APARECIDA DE JESUS PRUDENTE, Secretária Municipal de Justiça</w:t>
      </w:r>
    </w:p>
    <w:p w14:paraId="7ECB9910" w14:textId="77777777" w:rsidR="00F907EB" w:rsidRPr="003135A1" w:rsidRDefault="00F907EB" w:rsidP="00F907E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135A1">
        <w:rPr>
          <w:rFonts w:ascii="Arial" w:hAnsi="Arial" w:cs="Arial"/>
          <w:sz w:val="18"/>
          <w:szCs w:val="18"/>
        </w:rPr>
        <w:t>RUBENS NAMAN RIZEK JUNIOR, Secretário de Governo</w:t>
      </w:r>
      <w:r>
        <w:rPr>
          <w:rFonts w:ascii="Arial" w:hAnsi="Arial" w:cs="Arial"/>
          <w:sz w:val="18"/>
          <w:szCs w:val="18"/>
        </w:rPr>
        <w:t xml:space="preserve"> </w:t>
      </w:r>
      <w:r w:rsidRPr="003135A1">
        <w:rPr>
          <w:rFonts w:ascii="Arial" w:hAnsi="Arial" w:cs="Arial"/>
          <w:sz w:val="18"/>
          <w:szCs w:val="18"/>
        </w:rPr>
        <w:t>Municipal</w:t>
      </w:r>
    </w:p>
    <w:p w14:paraId="63BBEAFA" w14:textId="77777777" w:rsidR="00F907EB" w:rsidRPr="003135A1" w:rsidRDefault="00F907EB" w:rsidP="00F907E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135A1">
        <w:rPr>
          <w:rFonts w:ascii="Arial" w:hAnsi="Arial" w:cs="Arial"/>
          <w:sz w:val="18"/>
          <w:szCs w:val="18"/>
        </w:rPr>
        <w:t>Publicado na Secretaria de Governo Municipal, em 20 de</w:t>
      </w:r>
      <w:r>
        <w:rPr>
          <w:rFonts w:ascii="Arial" w:hAnsi="Arial" w:cs="Arial"/>
          <w:sz w:val="18"/>
          <w:szCs w:val="18"/>
        </w:rPr>
        <w:t xml:space="preserve"> </w:t>
      </w:r>
      <w:r w:rsidRPr="003135A1">
        <w:rPr>
          <w:rFonts w:ascii="Arial" w:hAnsi="Arial" w:cs="Arial"/>
          <w:sz w:val="18"/>
          <w:szCs w:val="18"/>
        </w:rPr>
        <w:t>abril de 2022.</w:t>
      </w:r>
    </w:p>
    <w:p w14:paraId="3B3275E0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</w:p>
    <w:p w14:paraId="19E0F249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0CBE3DD8" wp14:editId="79573074">
            <wp:extent cx="6274676" cy="6858910"/>
            <wp:effectExtent l="0" t="0" r="0" b="0"/>
            <wp:docPr id="1" name="Imagem 1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abel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1799" cy="686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BA12D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0EAB9B2" wp14:editId="67E29656">
            <wp:extent cx="6400800" cy="5752070"/>
            <wp:effectExtent l="0" t="0" r="0" b="1270"/>
            <wp:docPr id="2" name="Imagem 2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Tabel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223" cy="576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32033" w14:textId="77777777" w:rsidR="00F907EB" w:rsidRDefault="00F907EB" w:rsidP="00F907EB">
      <w:pPr>
        <w:spacing w:after="0"/>
        <w:jc w:val="both"/>
        <w:rPr>
          <w:rFonts w:ascii="Arial" w:hAnsi="Arial" w:cs="Arial"/>
        </w:rPr>
      </w:pPr>
    </w:p>
    <w:p w14:paraId="61E29994" w14:textId="70DA9620" w:rsidR="001F50CF" w:rsidRPr="001F50CF" w:rsidRDefault="001F50CF" w:rsidP="00F907EB">
      <w:pPr>
        <w:spacing w:after="0"/>
        <w:jc w:val="both"/>
        <w:rPr>
          <w:rFonts w:ascii="Arial" w:hAnsi="Arial" w:cs="Arial"/>
        </w:rPr>
      </w:pPr>
    </w:p>
    <w:sectPr w:rsidR="001F50CF" w:rsidRPr="001F50CF" w:rsidSect="001F5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0CF"/>
    <w:rsid w:val="001F50CF"/>
    <w:rsid w:val="00F9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4E56"/>
  <w15:chartTrackingRefBased/>
  <w15:docId w15:val="{01B4A2F3-E9F9-4D97-A1A0-DB39EE47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7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F50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3467</Words>
  <Characters>18726</Characters>
  <Application>Microsoft Office Word</Application>
  <DocSecurity>0</DocSecurity>
  <Lines>156</Lines>
  <Paragraphs>44</Paragraphs>
  <ScaleCrop>false</ScaleCrop>
  <Company/>
  <LinksUpToDate>false</LinksUpToDate>
  <CharactersWithSpaces>22149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2022-04-21T12:18:00Z</cp:lastPrinted>
  <dcterms:created xsi:type="dcterms:W3CDTF">2022-04-21T12:22:00Z</dcterms:created>
  <dcterms:modified xsi:type="dcterms:W3CDTF">2022-04-21T12:22:00Z</dcterms:modified>
</cp:coreProperties>
</file>