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5597" w14:textId="075B0389" w:rsidR="002D3B48" w:rsidRPr="00E864E4" w:rsidRDefault="002D3B48" w:rsidP="002D3B48">
      <w:pPr>
        <w:spacing w:after="0"/>
        <w:jc w:val="both"/>
        <w:rPr>
          <w:rFonts w:ascii="Arial" w:hAnsi="Arial" w:cs="Arial"/>
        </w:rPr>
      </w:pPr>
      <w:r w:rsidRPr="00E864E4">
        <w:rPr>
          <w:rFonts w:ascii="Arial" w:hAnsi="Arial" w:cs="Arial"/>
        </w:rPr>
        <w:t xml:space="preserve">DOC 30/12/2022 - </w:t>
      </w:r>
      <w:r w:rsidRPr="00E864E4">
        <w:rPr>
          <w:rFonts w:ascii="Arial" w:hAnsi="Arial" w:cs="Arial"/>
        </w:rPr>
        <w:t>pp. 05 e 06</w:t>
      </w:r>
    </w:p>
    <w:p w14:paraId="49A34CDA" w14:textId="77777777" w:rsidR="002D3B48" w:rsidRDefault="002D3B48" w:rsidP="002D3B48">
      <w:pPr>
        <w:spacing w:after="0"/>
        <w:jc w:val="both"/>
        <w:rPr>
          <w:rFonts w:ascii="Arial" w:hAnsi="Arial" w:cs="Arial"/>
        </w:rPr>
      </w:pPr>
    </w:p>
    <w:p w14:paraId="200D5D6C" w14:textId="18C815DF" w:rsidR="002D3B48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>GOVERNO MUNICIPAL</w:t>
      </w:r>
    </w:p>
    <w:p w14:paraId="4EFBDB36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</w:p>
    <w:p w14:paraId="3BC5AA5D" w14:textId="77777777" w:rsidR="002D3B48" w:rsidRPr="007A7B2A" w:rsidRDefault="002D3B48" w:rsidP="002D3B48">
      <w:pPr>
        <w:spacing w:after="0"/>
        <w:jc w:val="both"/>
        <w:rPr>
          <w:rFonts w:ascii="Arial" w:hAnsi="Arial" w:cs="Arial"/>
          <w:b/>
          <w:bCs/>
        </w:rPr>
      </w:pPr>
      <w:r w:rsidRPr="007A7B2A">
        <w:rPr>
          <w:rFonts w:ascii="Arial" w:hAnsi="Arial" w:cs="Arial"/>
          <w:b/>
          <w:bCs/>
        </w:rPr>
        <w:t>PORTARIA CONJUNTA SGM/SMADS/SME/SMS 10, DE 29 DE DEZEMBRO DE 2022</w:t>
      </w:r>
    </w:p>
    <w:p w14:paraId="2925791E" w14:textId="2F15803C" w:rsidR="002D3B48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>PROCESSO SEI 6011.2022/0003585-7</w:t>
      </w:r>
    </w:p>
    <w:p w14:paraId="66E53A90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</w:p>
    <w:p w14:paraId="1DA44ABE" w14:textId="03048C12" w:rsidR="002D3B48" w:rsidRDefault="002D3B48" w:rsidP="002D3B48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7A7B2A">
        <w:rPr>
          <w:rFonts w:ascii="Arial" w:hAnsi="Arial" w:cs="Arial"/>
          <w:b/>
          <w:bCs/>
          <w:i/>
          <w:iCs/>
        </w:rPr>
        <w:t>ESTABELECE E DETALHA O PROTOCOLO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7A7B2A">
        <w:rPr>
          <w:rFonts w:ascii="Arial" w:hAnsi="Arial" w:cs="Arial"/>
          <w:b/>
          <w:bCs/>
          <w:i/>
          <w:iCs/>
        </w:rPr>
        <w:t>INTEGRADO DE BUSCA ATIVA ESCOLAR DE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7A7B2A">
        <w:rPr>
          <w:rFonts w:ascii="Arial" w:hAnsi="Arial" w:cs="Arial"/>
          <w:b/>
          <w:bCs/>
          <w:i/>
          <w:iCs/>
        </w:rPr>
        <w:t>CRIANÇAS E ADOLESCENTES.</w:t>
      </w:r>
    </w:p>
    <w:p w14:paraId="607E3546" w14:textId="77777777" w:rsidR="002D3B48" w:rsidRPr="007A7B2A" w:rsidRDefault="002D3B48" w:rsidP="002D3B48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2D42281" w14:textId="64CEBB1C" w:rsidR="002D3B48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>EDSON APARECIDO DOS SANTOS, Secretário do Governo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Municipal, ALEXIS GALIAS DE SOUZA VARGAS, Secretário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Executivo de Projetos Estratégicos, da Secretário do Governo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Municipal, FERNANDO PADULA NOVAES, Secretário Municipal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de Educação, LUIZ CARLOS ZAMARCO, Secretário Municipal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da Saúde e CARLOS ALBERTO DE QUADROS BEZERRA JÚNIOR,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Secretário Municipal de Assistência e Desenvolvimento Social,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no uso das atribuições que lhes são conferidas por lei,</w:t>
      </w:r>
    </w:p>
    <w:p w14:paraId="69ED1B9A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</w:p>
    <w:p w14:paraId="5F3C93A4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>CONSIDERANDO a Lei 8.069, de 13 de julho de 1990,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que dispõe sobre o Estatuto da Criança e do Adolescente e dá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outras providências.</w:t>
      </w:r>
    </w:p>
    <w:p w14:paraId="31F8E02F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>CONSIDERANDO a Política Municipal pela Primeira Infância, instituída pela Lei 16.710, de 11 de outubro de 2017;</w:t>
      </w:r>
    </w:p>
    <w:p w14:paraId="33BD2A3D" w14:textId="77777777" w:rsidR="002D3B48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>CONSIDERANDO o Plano Municipal de Educação 2015-2025, instituído pela Lei 16.271, de 17 de setembro de 2015,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Meta 5, estratégia 5.8. “Promover, através da Secretaria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Municipal de Educação, a busca ativa de crianças em idade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correspondente à Educação Infantil, em parceria com órgãos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públicos de assistência social, saúde e proteção à infância,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preservando o direito de opção da família em relação às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crianças de zero até 3 (três) anos” e Meta 6, estratégia 6.3.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“Promover, em regime de colaboração com o Estado de São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Paulo e a União, a busca ativa de crianças e adolescentes fora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da escola, em parceria com órgãos públicos de assistência social, saúde e proteção à infância, adolescência e juventude”;</w:t>
      </w:r>
    </w:p>
    <w:p w14:paraId="7B0A44B7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>CONSIDERANDO o Plano Municipal pela Primeira Infância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2018-2030, instituído pelo Decreto 58.514 de 14 de novembro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de 2018, em seu Eixo Estratégico II “Garantir a todas as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crianças na primeira infância educação, cuidados e estímulos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que contribuam para seu desenvolvimento integral”, Meta 2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“Garantir atendimento integral a todas as crianças de 4 e 5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anos” e estratégia 2.2 “Definir e implementar protocolos de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busca ativa para a identificação das crianças fora da escola”;</w:t>
      </w:r>
    </w:p>
    <w:p w14:paraId="53FB2986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>CONSIDERANDO o Programa de Metas 2021-2024, Meta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11 - Implantar protocolos integrados de atendimento para a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primeira infância, iniciativa b) Definir e implementar protocolos de busca ativa para a identificação das crianças fora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da escola;</w:t>
      </w:r>
    </w:p>
    <w:p w14:paraId="6574DC0F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>CONSIDERANDO a Instrução Normativa SME nº 11, de 12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de março de 2020, que reorganiza o funcionamento do Núcleo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de Apoio e Acompanhamento para a Aprendizagem – NAAPA,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nas Diretorias Regionais de Educação da Secretaria Municipal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de Educação, e dá outras providências;</w:t>
      </w:r>
    </w:p>
    <w:p w14:paraId="4F2B183F" w14:textId="4848DB81" w:rsidR="002D3B48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>CONSIDERANDO o Protocolo Integrado de Atenção à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Primeiríssima Infância instituído pela Resolução nº 02/CGIPMIPI/2020, o qual prevê o estabelecimento de fluxos intersetoriais e padronizados de modo a realizar encaminhamentos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de possíveis situações de alerta, articulando os diferentes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serviços, programas e benefícios das secretarias municipais,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com referência e contrarreferência.</w:t>
      </w:r>
    </w:p>
    <w:p w14:paraId="2E19C7AB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</w:p>
    <w:p w14:paraId="434DF8D6" w14:textId="2E0DC2DD" w:rsidR="002D3B48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>RESOLVEM:</w:t>
      </w:r>
    </w:p>
    <w:p w14:paraId="60F966A9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</w:p>
    <w:p w14:paraId="214FFC51" w14:textId="5AE43B15" w:rsidR="002D3B48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>Art. 1º Fica instituído o Protocolo Integrado de Busca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Ativa Escolar, estratégia transversal e intersetorial que visa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promover a permanência de crianças e adolescentes na escola e combater a frequência irregular, abandono, evasão e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exclusão escolar.</w:t>
      </w:r>
    </w:p>
    <w:p w14:paraId="00BB7EBB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</w:p>
    <w:p w14:paraId="148F6959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lastRenderedPageBreak/>
        <w:t>Art. 2º Para os efeitos desta Portaria, considera-se:</w:t>
      </w:r>
    </w:p>
    <w:p w14:paraId="5CC93E77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2D3B48">
        <w:rPr>
          <w:rFonts w:ascii="Arial" w:hAnsi="Arial" w:cs="Arial"/>
          <w:b/>
          <w:bCs/>
        </w:rPr>
        <w:t>Criança:</w:t>
      </w:r>
      <w:r w:rsidRPr="00CB03C3">
        <w:rPr>
          <w:rFonts w:ascii="Arial" w:hAnsi="Arial" w:cs="Arial"/>
        </w:rPr>
        <w:t xml:space="preserve"> pessoa com idade entre 0 e 12 anos incompletos.</w:t>
      </w:r>
    </w:p>
    <w:p w14:paraId="2F6E51D8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2D3B48">
        <w:rPr>
          <w:rFonts w:ascii="Arial" w:hAnsi="Arial" w:cs="Arial"/>
          <w:b/>
          <w:bCs/>
        </w:rPr>
        <w:t>Adolescente:</w:t>
      </w:r>
      <w:r w:rsidRPr="00CB03C3">
        <w:rPr>
          <w:rFonts w:ascii="Arial" w:hAnsi="Arial" w:cs="Arial"/>
        </w:rPr>
        <w:t xml:space="preserve"> pessoa com idade entre 12 e 18 anos completos.</w:t>
      </w:r>
    </w:p>
    <w:p w14:paraId="3646938D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2D3B48">
        <w:rPr>
          <w:rFonts w:ascii="Arial" w:hAnsi="Arial" w:cs="Arial"/>
          <w:b/>
          <w:bCs/>
        </w:rPr>
        <w:t>Frequência irregular:</w:t>
      </w:r>
      <w:r w:rsidRPr="00CB03C3">
        <w:rPr>
          <w:rFonts w:ascii="Arial" w:hAnsi="Arial" w:cs="Arial"/>
        </w:rPr>
        <w:t xml:space="preserve"> situação em que a criança ou adolescente matriculado na Rede Municipal de Ensino não comparece à sua Unidade Educacional de forma regular e contínua.</w:t>
      </w:r>
    </w:p>
    <w:p w14:paraId="4C975805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2D3B48">
        <w:rPr>
          <w:rFonts w:ascii="Arial" w:hAnsi="Arial" w:cs="Arial"/>
          <w:b/>
          <w:bCs/>
        </w:rPr>
        <w:t>Evasão escolar:</w:t>
      </w:r>
      <w:r w:rsidRPr="00CB03C3">
        <w:rPr>
          <w:rFonts w:ascii="Arial" w:hAnsi="Arial" w:cs="Arial"/>
        </w:rPr>
        <w:t xml:space="preserve"> situação em que a criança ou adolescente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não efetua matrícula em unidade da rede de ensino no ano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letivo seguinte.</w:t>
      </w:r>
    </w:p>
    <w:p w14:paraId="6518A2D0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2D3B48">
        <w:rPr>
          <w:rFonts w:ascii="Arial" w:hAnsi="Arial" w:cs="Arial"/>
          <w:b/>
          <w:bCs/>
        </w:rPr>
        <w:t>Abandono escolar:</w:t>
      </w:r>
      <w:r w:rsidRPr="00CB03C3">
        <w:rPr>
          <w:rFonts w:ascii="Arial" w:hAnsi="Arial" w:cs="Arial"/>
        </w:rPr>
        <w:t xml:space="preserve"> situação em que a criança ou o adolescente matriculado na Rede Municipal de Ensino deixa de frequentar a Unidade Educacional durante o ano letivo, podendo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matricular-se no ano seguinte.</w:t>
      </w:r>
    </w:p>
    <w:p w14:paraId="7D2AEE16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2D3B48">
        <w:rPr>
          <w:rFonts w:ascii="Arial" w:hAnsi="Arial" w:cs="Arial"/>
          <w:b/>
          <w:bCs/>
        </w:rPr>
        <w:t>Exclusão escolar</w:t>
      </w:r>
      <w:r w:rsidRPr="00CB03C3">
        <w:rPr>
          <w:rFonts w:ascii="Arial" w:hAnsi="Arial" w:cs="Arial"/>
        </w:rPr>
        <w:t>: criança ou adolescente não matriculado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na rede de ensino.</w:t>
      </w:r>
    </w:p>
    <w:p w14:paraId="06C4A35F" w14:textId="77777777" w:rsidR="002D3B48" w:rsidRDefault="002D3B48" w:rsidP="002D3B48">
      <w:pPr>
        <w:spacing w:after="0"/>
        <w:jc w:val="both"/>
        <w:rPr>
          <w:rFonts w:ascii="Arial" w:hAnsi="Arial" w:cs="Arial"/>
        </w:rPr>
      </w:pPr>
    </w:p>
    <w:p w14:paraId="72FCAABD" w14:textId="33F98734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 xml:space="preserve">Art. 3º São </w:t>
      </w:r>
      <w:r w:rsidRPr="002D3B48">
        <w:rPr>
          <w:rFonts w:ascii="Arial" w:hAnsi="Arial" w:cs="Arial"/>
          <w:b/>
          <w:bCs/>
        </w:rPr>
        <w:t>objetivos</w:t>
      </w:r>
      <w:r w:rsidRPr="00CB03C3">
        <w:rPr>
          <w:rFonts w:ascii="Arial" w:hAnsi="Arial" w:cs="Arial"/>
        </w:rPr>
        <w:t xml:space="preserve"> do Protocolo Integrado de Busca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Ativa Escolar:</w:t>
      </w:r>
    </w:p>
    <w:p w14:paraId="622F1277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>I - Promover uma cultura voltada para a promoção do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acesso e permanência de crianças e adolescentes na rede de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ensino no Município de São Paulo;</w:t>
      </w:r>
    </w:p>
    <w:p w14:paraId="42E4382C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>II - Fortalecer a rede integrada de proteção às crianças e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adolescentes visando atuação conjunta para garantia do direito à educação e ao seu pleno desenvolvimento;</w:t>
      </w:r>
    </w:p>
    <w:p w14:paraId="484BBAC3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>III - Orientar os agentes públicos dos serviços das áreas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da Educação, Saúde e Assistência Social, para uma atuação articulada, focada no enfrentamento de situações de frequência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irregular, abandono, evasão e exclusão escolar.</w:t>
      </w:r>
    </w:p>
    <w:p w14:paraId="0DDB91E4" w14:textId="77777777" w:rsidR="002D3B48" w:rsidRDefault="002D3B48" w:rsidP="002D3B48">
      <w:pPr>
        <w:spacing w:after="0"/>
        <w:jc w:val="both"/>
        <w:rPr>
          <w:rFonts w:ascii="Arial" w:hAnsi="Arial" w:cs="Arial"/>
        </w:rPr>
      </w:pPr>
    </w:p>
    <w:p w14:paraId="1C48AF52" w14:textId="40BC2B72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 xml:space="preserve">Art. 4º O </w:t>
      </w:r>
      <w:r w:rsidRPr="002D3B48">
        <w:rPr>
          <w:rFonts w:ascii="Arial" w:hAnsi="Arial" w:cs="Arial"/>
          <w:b/>
          <w:bCs/>
        </w:rPr>
        <w:t>Protocolo Integrado de Busca Ativa Escolar</w:t>
      </w:r>
      <w:r w:rsidRPr="00CB03C3">
        <w:rPr>
          <w:rFonts w:ascii="Arial" w:hAnsi="Arial" w:cs="Arial"/>
        </w:rPr>
        <w:t xml:space="preserve"> é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composto por:</w:t>
      </w:r>
    </w:p>
    <w:p w14:paraId="2B7AA685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>I – Fluxo Integrado: instrumento que estabelece procedimentos padrão para as comunicações intersetoriais e encaminhamentos de casos de frequência irregular, evasão, abandono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ou exclusão escolar (Anexo único).</w:t>
      </w:r>
    </w:p>
    <w:p w14:paraId="1B530BF8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>II – Guia para comunicação intersetorial: documento que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apresenta metodologia e orientações para utilização de sistema de comunicação intersetorial.</w:t>
      </w:r>
    </w:p>
    <w:p w14:paraId="5BFEDFCA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1º O Guia de orientações será disponibilizado em até 60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dias da publicação desta Portaria.</w:t>
      </w:r>
    </w:p>
    <w:p w14:paraId="5BDC3926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2º Os instrumentos devem ser periodicamente revisados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para que sejam constantemente atualizados e aprimorados, a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partir dos aprendizados da sua implementação.</w:t>
      </w:r>
    </w:p>
    <w:p w14:paraId="1B11DAAC" w14:textId="77777777" w:rsidR="002D3B48" w:rsidRDefault="002D3B48" w:rsidP="002D3B48">
      <w:pPr>
        <w:spacing w:after="0"/>
        <w:jc w:val="both"/>
        <w:rPr>
          <w:rFonts w:ascii="Arial" w:hAnsi="Arial" w:cs="Arial"/>
        </w:rPr>
      </w:pPr>
    </w:p>
    <w:p w14:paraId="2A894ECF" w14:textId="3B788EFA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 xml:space="preserve">Art. 5º Cabe a </w:t>
      </w:r>
      <w:r w:rsidRPr="002D3B48">
        <w:rPr>
          <w:rFonts w:ascii="Arial" w:hAnsi="Arial" w:cs="Arial"/>
          <w:b/>
          <w:bCs/>
        </w:rPr>
        <w:t>Secretaria Municipal de Educação</w:t>
      </w:r>
      <w:r w:rsidRPr="00CB03C3">
        <w:rPr>
          <w:rFonts w:ascii="Arial" w:hAnsi="Arial" w:cs="Arial"/>
        </w:rPr>
        <w:t xml:space="preserve"> com o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apoio da Secretaria do Governo Municipal, Secretaria Municipal de Assistência e Desenvolvimento Social e Secretaria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Municipal de Saúde:</w:t>
      </w:r>
    </w:p>
    <w:p w14:paraId="70A1132B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>I – Definir e decidir sobre a estratégia do Protocolo,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liderando o direcionamento, a estruturação, a sistemática de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funcionamento, do monitoramento e da avaliação;</w:t>
      </w:r>
    </w:p>
    <w:p w14:paraId="6E694CC2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>II – Propor revisões, sempre que necessário, visando o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aprimoramento constante dos instrumentos do Protocolo;</w:t>
      </w:r>
    </w:p>
    <w:p w14:paraId="58B29D4B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>III – Articular capacitações constantes, com o apoio das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escolas municipais de governo, para os agentes públicos municipais envolvidos na implementação do protocolo;</w:t>
      </w:r>
    </w:p>
    <w:p w14:paraId="574938F6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>IV – Monitorar e avaliar a implementação do protocolo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nos diferentes serviços e territórios do Município, com o apoio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das Diretorias Regionais de Educação, Supervisões de Assistência Social e Supervisões Técnicas de Saúde;</w:t>
      </w:r>
    </w:p>
    <w:p w14:paraId="2F1B12BB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>V – Garantir a operacionalização de sistema de comunicação intersetorial e seu constante aperfeiçoamento.</w:t>
      </w:r>
    </w:p>
    <w:p w14:paraId="3CAA4FD9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1º As secretarias identificadas no caput deste artigo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contarão como apoio das instâncias de governança da Política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Municipal Integrada pela Primeira Infância, notadamente a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Comissão Técnica da Primeira Infância e Comitês Gestores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Regionais da Primeira Infância, especialmente para realização</w:t>
      </w:r>
    </w:p>
    <w:p w14:paraId="6CC60F59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>das ações descritas nos incisos III, IV e V, de forma articulada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ao Protocolo Integrado de Atenção à Primeiríssima Infância.</w:t>
      </w:r>
    </w:p>
    <w:p w14:paraId="0547A92B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2º As instâncias regionais identificadas no inciso IV deste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artigo, com apoio dos Comitês Gestores Regionais da Primeira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Infância, serão responsáveis por desdobrar a estratégia do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 xml:space="preserve">Protocolo nos </w:t>
      </w:r>
      <w:r w:rsidRPr="00CB03C3">
        <w:rPr>
          <w:rFonts w:ascii="Arial" w:hAnsi="Arial" w:cs="Arial"/>
        </w:rPr>
        <w:lastRenderedPageBreak/>
        <w:t>respectivos territórios, contribuindo para a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comunicação dos seus instrumentos aos agentes públicos que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atuam no atendimento, a promoção das ações de capacitação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e a proposição de adequações para o aprimoramento do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protocolo.</w:t>
      </w:r>
    </w:p>
    <w:p w14:paraId="47423E0F" w14:textId="77777777" w:rsidR="002D3B48" w:rsidRDefault="002D3B48" w:rsidP="002D3B48">
      <w:pPr>
        <w:spacing w:after="0"/>
        <w:jc w:val="both"/>
        <w:rPr>
          <w:rFonts w:ascii="Arial" w:hAnsi="Arial" w:cs="Arial"/>
        </w:rPr>
      </w:pPr>
    </w:p>
    <w:p w14:paraId="29319663" w14:textId="16FEC7C3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 xml:space="preserve">Art. 6º Cabe aos </w:t>
      </w:r>
      <w:r w:rsidRPr="002D3B48">
        <w:rPr>
          <w:rFonts w:ascii="Arial" w:hAnsi="Arial" w:cs="Arial"/>
          <w:b/>
          <w:bCs/>
        </w:rPr>
        <w:t>agentes públicos que atuam nos serviços municipais das áreas da Assistência Social, Educação e Saúde</w:t>
      </w:r>
      <w:r w:rsidRPr="00CB03C3">
        <w:rPr>
          <w:rFonts w:ascii="Arial" w:hAnsi="Arial" w:cs="Arial"/>
        </w:rPr>
        <w:t>:</w:t>
      </w:r>
    </w:p>
    <w:p w14:paraId="6E631D8B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>I – Utilizar os instrumentos do protocolo na sua rotina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diária, quando pertinente, e atuar conforme os procedimentos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neles estabelecidos;</w:t>
      </w:r>
    </w:p>
    <w:p w14:paraId="6B714592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>II – Participar das ações de capacitação referentes ao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protocolo, quando houver;</w:t>
      </w:r>
    </w:p>
    <w:p w14:paraId="7386D76A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>III – Propor melhorias nos instrumentos do protocolo,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com base na sua experiência prática, articulando-se com as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respectivas regionais e com os Comitês Gestores Regionais da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Primeira Infância.</w:t>
      </w:r>
    </w:p>
    <w:p w14:paraId="4AD902A1" w14:textId="77777777" w:rsidR="002D3B48" w:rsidRDefault="002D3B48" w:rsidP="002D3B48">
      <w:pPr>
        <w:spacing w:after="0"/>
        <w:jc w:val="both"/>
        <w:rPr>
          <w:rFonts w:ascii="Arial" w:hAnsi="Arial" w:cs="Arial"/>
        </w:rPr>
      </w:pPr>
    </w:p>
    <w:p w14:paraId="1702F492" w14:textId="5353A475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  <w:r w:rsidRPr="00CB03C3">
        <w:rPr>
          <w:rFonts w:ascii="Arial" w:hAnsi="Arial" w:cs="Arial"/>
        </w:rPr>
        <w:t>Art. 7º Esta Portaria entrará em vigor na data de sua</w:t>
      </w:r>
      <w:r>
        <w:rPr>
          <w:rFonts w:ascii="Arial" w:hAnsi="Arial" w:cs="Arial"/>
        </w:rPr>
        <w:t xml:space="preserve"> </w:t>
      </w:r>
      <w:r w:rsidRPr="00CB03C3">
        <w:rPr>
          <w:rFonts w:ascii="Arial" w:hAnsi="Arial" w:cs="Arial"/>
        </w:rPr>
        <w:t>publicação.</w:t>
      </w:r>
    </w:p>
    <w:p w14:paraId="70D0C609" w14:textId="77777777" w:rsidR="002D3B48" w:rsidRDefault="002D3B48" w:rsidP="002D3B48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76D50A4" w14:textId="0246CA6F" w:rsidR="002D3B48" w:rsidRPr="007A7B2A" w:rsidRDefault="002D3B48" w:rsidP="002D3B48">
      <w:pPr>
        <w:spacing w:after="0"/>
        <w:jc w:val="both"/>
        <w:rPr>
          <w:rFonts w:ascii="Arial" w:hAnsi="Arial" w:cs="Arial"/>
          <w:sz w:val="18"/>
          <w:szCs w:val="18"/>
        </w:rPr>
      </w:pPr>
      <w:r w:rsidRPr="007A7B2A">
        <w:rPr>
          <w:rFonts w:ascii="Arial" w:hAnsi="Arial" w:cs="Arial"/>
          <w:sz w:val="18"/>
          <w:szCs w:val="18"/>
        </w:rPr>
        <w:t>ALEXIS GALIAS DE SOUZA VARGAS, Secretário Executivo de Projetos Estratégicos - Secretaria do Governo Municipal</w:t>
      </w:r>
    </w:p>
    <w:p w14:paraId="67BB87FB" w14:textId="77777777" w:rsidR="002D3B48" w:rsidRPr="007A7B2A" w:rsidRDefault="002D3B48" w:rsidP="002D3B48">
      <w:pPr>
        <w:spacing w:after="0"/>
        <w:jc w:val="both"/>
        <w:rPr>
          <w:rFonts w:ascii="Arial" w:hAnsi="Arial" w:cs="Arial"/>
          <w:sz w:val="18"/>
          <w:szCs w:val="18"/>
        </w:rPr>
      </w:pPr>
      <w:r w:rsidRPr="007A7B2A">
        <w:rPr>
          <w:rFonts w:ascii="Arial" w:hAnsi="Arial" w:cs="Arial"/>
          <w:sz w:val="18"/>
          <w:szCs w:val="18"/>
        </w:rPr>
        <w:t>EDSON APARECIDO DOS SANTOS, Secretário do Governo Municipal</w:t>
      </w:r>
    </w:p>
    <w:p w14:paraId="205C914F" w14:textId="77777777" w:rsidR="002D3B48" w:rsidRPr="007A7B2A" w:rsidRDefault="002D3B48" w:rsidP="002D3B48">
      <w:pPr>
        <w:spacing w:after="0"/>
        <w:jc w:val="both"/>
        <w:rPr>
          <w:rFonts w:ascii="Arial" w:hAnsi="Arial" w:cs="Arial"/>
          <w:sz w:val="18"/>
          <w:szCs w:val="18"/>
        </w:rPr>
      </w:pPr>
      <w:r w:rsidRPr="007A7B2A">
        <w:rPr>
          <w:rFonts w:ascii="Arial" w:hAnsi="Arial" w:cs="Arial"/>
          <w:sz w:val="18"/>
          <w:szCs w:val="18"/>
        </w:rPr>
        <w:t>CARLOS ALBERTO DE QUADROS BEZERRA JÚNIOR, Secretário Municipal de Assistência e Desenvolvimento Social</w:t>
      </w:r>
    </w:p>
    <w:p w14:paraId="1A3F5779" w14:textId="77777777" w:rsidR="002D3B48" w:rsidRPr="007A7B2A" w:rsidRDefault="002D3B48" w:rsidP="002D3B48">
      <w:pPr>
        <w:spacing w:after="0"/>
        <w:jc w:val="both"/>
        <w:rPr>
          <w:rFonts w:ascii="Arial" w:hAnsi="Arial" w:cs="Arial"/>
          <w:sz w:val="18"/>
          <w:szCs w:val="18"/>
        </w:rPr>
      </w:pPr>
      <w:r w:rsidRPr="007A7B2A">
        <w:rPr>
          <w:rFonts w:ascii="Arial" w:hAnsi="Arial" w:cs="Arial"/>
          <w:sz w:val="18"/>
          <w:szCs w:val="18"/>
        </w:rPr>
        <w:t>FERNANDO PADULA NOVAES, Secretário Municipal de Educação</w:t>
      </w:r>
    </w:p>
    <w:p w14:paraId="0B0B7349" w14:textId="77777777" w:rsidR="002D3B48" w:rsidRPr="007A7B2A" w:rsidRDefault="002D3B48" w:rsidP="002D3B48">
      <w:pPr>
        <w:spacing w:after="0"/>
        <w:jc w:val="both"/>
        <w:rPr>
          <w:rFonts w:ascii="Arial" w:hAnsi="Arial" w:cs="Arial"/>
          <w:sz w:val="18"/>
          <w:szCs w:val="18"/>
        </w:rPr>
      </w:pPr>
      <w:r w:rsidRPr="007A7B2A">
        <w:rPr>
          <w:rFonts w:ascii="Arial" w:hAnsi="Arial" w:cs="Arial"/>
          <w:sz w:val="18"/>
          <w:szCs w:val="18"/>
        </w:rPr>
        <w:t>LUIZ CARLOS ZAMARCO, Secretário Municipal de Saúde</w:t>
      </w:r>
    </w:p>
    <w:p w14:paraId="51525F15" w14:textId="77777777" w:rsidR="002D3B48" w:rsidRPr="00CB03C3" w:rsidRDefault="002D3B48" w:rsidP="002D3B48">
      <w:pPr>
        <w:spacing w:after="0"/>
        <w:jc w:val="both"/>
        <w:rPr>
          <w:rFonts w:ascii="Arial" w:hAnsi="Arial" w:cs="Arial"/>
        </w:rPr>
      </w:pPr>
    </w:p>
    <w:p w14:paraId="60167EDF" w14:textId="77777777" w:rsidR="002D3B48" w:rsidRPr="007A7B2A" w:rsidRDefault="002D3B48" w:rsidP="002D3B48">
      <w:pPr>
        <w:spacing w:after="0"/>
        <w:jc w:val="both"/>
        <w:rPr>
          <w:rFonts w:ascii="Arial" w:hAnsi="Arial" w:cs="Arial"/>
          <w:b/>
          <w:bCs/>
        </w:rPr>
      </w:pPr>
      <w:r w:rsidRPr="007A7B2A">
        <w:rPr>
          <w:rFonts w:ascii="Arial" w:hAnsi="Arial" w:cs="Arial"/>
          <w:b/>
          <w:bCs/>
        </w:rPr>
        <w:t>ANEXO INTEGRANTE DA PORTARIA CONJUNTA 10, DE 29 DE DEZEMBRO DE 2022</w:t>
      </w:r>
    </w:p>
    <w:p w14:paraId="5A0E0D79" w14:textId="77777777" w:rsidR="002D3B48" w:rsidRDefault="002D3B48" w:rsidP="002D3B48">
      <w:pPr>
        <w:spacing w:after="0"/>
        <w:jc w:val="both"/>
        <w:rPr>
          <w:rFonts w:ascii="Arial" w:hAnsi="Arial" w:cs="Arial"/>
        </w:rPr>
      </w:pPr>
    </w:p>
    <w:p w14:paraId="6827BA57" w14:textId="77777777" w:rsidR="002D3B48" w:rsidRDefault="002D3B48" w:rsidP="002D3B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CA255F7" wp14:editId="4AC8AED6">
            <wp:extent cx="6390168" cy="8908327"/>
            <wp:effectExtent l="0" t="0" r="0" b="7620"/>
            <wp:docPr id="8" name="Imagem 8" descr="Interface gráfica do usuário, Texto, Aplicativo, chat ou mensagem de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Interface gráfica do usuário, Texto, Aplicativo, chat ou mensagem de texto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486" cy="891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47E36" w14:textId="77777777" w:rsidR="002D3B48" w:rsidRDefault="002D3B48" w:rsidP="002D3B48">
      <w:pPr>
        <w:spacing w:after="0"/>
        <w:jc w:val="both"/>
        <w:rPr>
          <w:rFonts w:ascii="Arial" w:hAnsi="Arial" w:cs="Arial"/>
        </w:rPr>
      </w:pPr>
    </w:p>
    <w:p w14:paraId="2E0AB8F5" w14:textId="77777777" w:rsidR="002D3B48" w:rsidRDefault="002D3B48" w:rsidP="002D3B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FE813DF" wp14:editId="554F1A77">
            <wp:extent cx="6039293" cy="8475526"/>
            <wp:effectExtent l="0" t="0" r="0" b="1905"/>
            <wp:docPr id="9" name="Imagem 9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Diagram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145" cy="849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65296" w14:textId="77777777" w:rsidR="002D3B48" w:rsidRDefault="002D3B48" w:rsidP="002D3B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6B739DF" wp14:editId="4E33F667">
            <wp:extent cx="5890437" cy="7137223"/>
            <wp:effectExtent l="0" t="0" r="0" b="6985"/>
            <wp:docPr id="10" name="Imagem 10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Texto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8913" cy="714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B3E8D" w14:textId="77777777" w:rsidR="002D3B48" w:rsidRDefault="002D3B48" w:rsidP="002D3B48">
      <w:pPr>
        <w:spacing w:after="0"/>
        <w:jc w:val="both"/>
        <w:rPr>
          <w:rFonts w:ascii="Arial" w:hAnsi="Arial" w:cs="Arial"/>
        </w:rPr>
      </w:pPr>
    </w:p>
    <w:p w14:paraId="0F1B7D05" w14:textId="77777777" w:rsidR="002D3B48" w:rsidRDefault="002D3B48" w:rsidP="002D3B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A80B7D1" wp14:editId="7718A410">
            <wp:extent cx="6134986" cy="5338235"/>
            <wp:effectExtent l="0" t="0" r="0" b="0"/>
            <wp:docPr id="11" name="Imagem 11" descr="Diagrama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Diagrama, Text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7058" cy="534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7DB78" w14:textId="77777777" w:rsidR="002D3B48" w:rsidRDefault="002D3B48" w:rsidP="002D3B48">
      <w:pPr>
        <w:spacing w:after="0"/>
        <w:jc w:val="both"/>
        <w:rPr>
          <w:rFonts w:ascii="Arial" w:hAnsi="Arial" w:cs="Arial"/>
        </w:rPr>
      </w:pPr>
    </w:p>
    <w:p w14:paraId="42FE964D" w14:textId="58CB5C57" w:rsidR="00E26E64" w:rsidRDefault="00E26E64" w:rsidP="002D3B48">
      <w:pPr>
        <w:spacing w:after="0"/>
      </w:pPr>
    </w:p>
    <w:sectPr w:rsidR="00E26E64" w:rsidSect="002D3B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48"/>
    <w:rsid w:val="002D3B48"/>
    <w:rsid w:val="00E26E64"/>
    <w:rsid w:val="00E8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EE06"/>
  <w15:chartTrackingRefBased/>
  <w15:docId w15:val="{27907E1E-6B12-4792-8101-5CE9EDDC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B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1276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2022-12-30T09:46:00Z</cp:lastPrinted>
  <dcterms:created xsi:type="dcterms:W3CDTF">2022-12-30T09:43:00Z</dcterms:created>
  <dcterms:modified xsi:type="dcterms:W3CDTF">2022-12-30T09:47:00Z</dcterms:modified>
</cp:coreProperties>
</file>