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34CC" w14:textId="1A991BB0" w:rsidR="0070048C" w:rsidRDefault="00FE43D7" w:rsidP="007004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31/12/2022 - </w:t>
      </w:r>
      <w:r w:rsidR="0070048C">
        <w:rPr>
          <w:rFonts w:ascii="Arial" w:hAnsi="Arial" w:cs="Arial"/>
        </w:rPr>
        <w:t>p. 01</w:t>
      </w:r>
    </w:p>
    <w:p w14:paraId="7EC7EC00" w14:textId="77777777" w:rsidR="0070048C" w:rsidRDefault="0070048C" w:rsidP="0070048C">
      <w:pPr>
        <w:spacing w:after="0"/>
        <w:jc w:val="both"/>
        <w:rPr>
          <w:rFonts w:ascii="Arial" w:hAnsi="Arial" w:cs="Arial"/>
        </w:rPr>
      </w:pPr>
    </w:p>
    <w:p w14:paraId="15BB6EF9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LEI Nº 17.879, DE 30 DE DEZEMBRO DE 2022</w:t>
      </w:r>
    </w:p>
    <w:p w14:paraId="529CF968" w14:textId="56B5BDA0" w:rsidR="0070048C" w:rsidRDefault="0070048C" w:rsidP="007004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(PROJETO DE LEI Nº 413/22, DO VEREADOR</w:t>
      </w:r>
      <w:r>
        <w:rPr>
          <w:rFonts w:ascii="Arial" w:hAnsi="Arial" w:cs="Arial"/>
          <w:sz w:val="18"/>
          <w:szCs w:val="18"/>
        </w:rPr>
        <w:t xml:space="preserve"> </w:t>
      </w:r>
      <w:r w:rsidRPr="00871649">
        <w:rPr>
          <w:rFonts w:ascii="Arial" w:hAnsi="Arial" w:cs="Arial"/>
          <w:sz w:val="18"/>
          <w:szCs w:val="18"/>
        </w:rPr>
        <w:t>MARLON LUZ – MDB)</w:t>
      </w:r>
    </w:p>
    <w:p w14:paraId="15388642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18F866" w14:textId="3483515E" w:rsidR="0070048C" w:rsidRDefault="0070048C" w:rsidP="0070048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71649">
        <w:rPr>
          <w:rFonts w:ascii="Arial" w:hAnsi="Arial" w:cs="Arial"/>
          <w:b/>
          <w:bCs/>
          <w:i/>
          <w:iCs/>
        </w:rPr>
        <w:t>Regulamenta no âmbito do Município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71649">
        <w:rPr>
          <w:rFonts w:ascii="Arial" w:hAnsi="Arial" w:cs="Arial"/>
          <w:b/>
          <w:bCs/>
          <w:i/>
          <w:iCs/>
        </w:rPr>
        <w:t>São Paulo a instituição de ambientes experimentais de inovação científica, tecnológica e empreendedora – Programa SAMPA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71649">
        <w:rPr>
          <w:rFonts w:ascii="Arial" w:hAnsi="Arial" w:cs="Arial"/>
          <w:b/>
          <w:bCs/>
          <w:i/>
          <w:iCs/>
        </w:rPr>
        <w:t>SANDBOX, sob o formato de Bancos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71649">
        <w:rPr>
          <w:rFonts w:ascii="Arial" w:hAnsi="Arial" w:cs="Arial"/>
          <w:b/>
          <w:bCs/>
          <w:i/>
          <w:iCs/>
        </w:rPr>
        <w:t xml:space="preserve">Testes Regulatórios e Tecnológicos no modelo </w:t>
      </w:r>
      <w:proofErr w:type="spellStart"/>
      <w:r w:rsidRPr="00871649">
        <w:rPr>
          <w:rFonts w:ascii="Arial" w:hAnsi="Arial" w:cs="Arial"/>
          <w:b/>
          <w:bCs/>
          <w:i/>
          <w:iCs/>
        </w:rPr>
        <w:t>Sandbox</w:t>
      </w:r>
      <w:proofErr w:type="spellEnd"/>
      <w:r w:rsidRPr="00871649">
        <w:rPr>
          <w:rFonts w:ascii="Arial" w:hAnsi="Arial" w:cs="Arial"/>
          <w:b/>
          <w:bCs/>
          <w:i/>
          <w:iCs/>
        </w:rPr>
        <w:t>, nos termos do art. 11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71649">
        <w:rPr>
          <w:rFonts w:ascii="Arial" w:hAnsi="Arial" w:cs="Arial"/>
          <w:b/>
          <w:bCs/>
          <w:i/>
          <w:iCs/>
        </w:rPr>
        <w:t>Lei Complementar Federal nº 182, de 1º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71649">
        <w:rPr>
          <w:rFonts w:ascii="Arial" w:hAnsi="Arial" w:cs="Arial"/>
          <w:b/>
          <w:bCs/>
          <w:i/>
          <w:iCs/>
        </w:rPr>
        <w:t>junho de 2021.</w:t>
      </w:r>
    </w:p>
    <w:p w14:paraId="2CD55040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7FE574B" w14:textId="0E747D92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 Câmara Municipal, em sessão de 29 de novembro de 2022,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decretou e eu promulgo a seguinte lei:</w:t>
      </w:r>
    </w:p>
    <w:p w14:paraId="2602071C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3367A400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1º Fica regulamentada, no âmbito do Município de São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Paulo, a instituição de ambientes experimentais de inovação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 xml:space="preserve">científica, tecnológica e empreendedora no modelo </w:t>
      </w:r>
      <w:proofErr w:type="spellStart"/>
      <w:r w:rsidRPr="00C42B04">
        <w:rPr>
          <w:rFonts w:ascii="Arial" w:hAnsi="Arial" w:cs="Arial"/>
        </w:rPr>
        <w:t>Sandbox</w:t>
      </w:r>
      <w:proofErr w:type="spellEnd"/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Regulatório, através do Programa SAMPA SANDBOX.</w:t>
      </w:r>
    </w:p>
    <w:p w14:paraId="2A0B5FFB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Parágrafo único. O Programa SAMPA SANDBOX tem como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objetivos:</w:t>
      </w:r>
    </w:p>
    <w:p w14:paraId="116DDAB5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 - </w:t>
      </w:r>
      <w:proofErr w:type="gramStart"/>
      <w:r w:rsidRPr="00C42B04">
        <w:rPr>
          <w:rFonts w:ascii="Arial" w:hAnsi="Arial" w:cs="Arial"/>
        </w:rPr>
        <w:t>o</w:t>
      </w:r>
      <w:proofErr w:type="gramEnd"/>
      <w:r w:rsidRPr="00C42B04">
        <w:rPr>
          <w:rFonts w:ascii="Arial" w:hAnsi="Arial" w:cs="Arial"/>
        </w:rPr>
        <w:t xml:space="preserve"> fomento à inovação em escala urbana, através da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realização e acompanhamento de testes inovadores em áreas 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serem definidas e especificadas pelo município;</w:t>
      </w:r>
    </w:p>
    <w:p w14:paraId="3E6BFFE9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II - </w:t>
      </w:r>
      <w:proofErr w:type="gramStart"/>
      <w:r w:rsidRPr="00C42B04">
        <w:rPr>
          <w:rFonts w:ascii="Arial" w:hAnsi="Arial" w:cs="Arial"/>
        </w:rPr>
        <w:t>a</w:t>
      </w:r>
      <w:proofErr w:type="gramEnd"/>
      <w:r w:rsidRPr="00C42B04">
        <w:rPr>
          <w:rFonts w:ascii="Arial" w:hAnsi="Arial" w:cs="Arial"/>
        </w:rPr>
        <w:t xml:space="preserve"> orientação sobre questões regulatórias durante o desenvolvimento das experimentações a serem realizadas nos ambientes de inovação científica, tecnológica e empreendedora especificados pelo Comitê Gestor durante os ciclos de testagem;</w:t>
      </w:r>
    </w:p>
    <w:p w14:paraId="50456349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III - a diminuição de custos e tempo de validação inerentes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ao desenvolvimento de produtos, serviços e modelos de negócios inovadores e escaláveis para a cidade;</w:t>
      </w:r>
    </w:p>
    <w:p w14:paraId="10FED8F7" w14:textId="36D77212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IV - </w:t>
      </w:r>
      <w:proofErr w:type="gramStart"/>
      <w:r w:rsidRPr="00C42B04">
        <w:rPr>
          <w:rFonts w:ascii="Arial" w:hAnsi="Arial" w:cs="Arial"/>
        </w:rPr>
        <w:t>a</w:t>
      </w:r>
      <w:proofErr w:type="gramEnd"/>
      <w:r w:rsidRPr="00C42B04">
        <w:rPr>
          <w:rFonts w:ascii="Arial" w:hAnsi="Arial" w:cs="Arial"/>
        </w:rPr>
        <w:t xml:space="preserve"> percepção da segurança jurídica necessária à maior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atratividade de capital investidor para os projetos de inovação.</w:t>
      </w:r>
    </w:p>
    <w:p w14:paraId="023FFF86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1BD62F5C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CAPÍTULO I</w:t>
      </w:r>
    </w:p>
    <w:p w14:paraId="02E395AC" w14:textId="6C3A6921" w:rsidR="0070048C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DOS AMBIENTES EXPERIMENTAIS DE INOVAÇÃO CIENTÍFICA,</w:t>
      </w:r>
      <w:r>
        <w:rPr>
          <w:rFonts w:ascii="Arial" w:hAnsi="Arial" w:cs="Arial"/>
          <w:b/>
          <w:bCs/>
        </w:rPr>
        <w:t xml:space="preserve"> </w:t>
      </w:r>
      <w:r w:rsidRPr="00871649">
        <w:rPr>
          <w:rFonts w:ascii="Arial" w:hAnsi="Arial" w:cs="Arial"/>
          <w:b/>
          <w:bCs/>
        </w:rPr>
        <w:t>TECNOLÓGICA E EMPREENDEDORA - Programa SAMPA</w:t>
      </w:r>
      <w:r>
        <w:rPr>
          <w:rFonts w:ascii="Arial" w:hAnsi="Arial" w:cs="Arial"/>
          <w:b/>
          <w:bCs/>
        </w:rPr>
        <w:t xml:space="preserve"> </w:t>
      </w:r>
      <w:r w:rsidRPr="00871649">
        <w:rPr>
          <w:rFonts w:ascii="Arial" w:hAnsi="Arial" w:cs="Arial"/>
          <w:b/>
          <w:bCs/>
        </w:rPr>
        <w:t>SANDBOX</w:t>
      </w:r>
    </w:p>
    <w:p w14:paraId="17E012B3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</w:p>
    <w:p w14:paraId="6FF19244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2º Consideram-se como Ambientes Experimentais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 xml:space="preserve">Inovação (Ambientes </w:t>
      </w:r>
      <w:proofErr w:type="spellStart"/>
      <w:r w:rsidRPr="00C42B04">
        <w:rPr>
          <w:rFonts w:ascii="Arial" w:hAnsi="Arial" w:cs="Arial"/>
        </w:rPr>
        <w:t>Sandbox</w:t>
      </w:r>
      <w:proofErr w:type="spellEnd"/>
      <w:r w:rsidRPr="00C42B04">
        <w:rPr>
          <w:rFonts w:ascii="Arial" w:hAnsi="Arial" w:cs="Arial"/>
        </w:rPr>
        <w:t>), na forma desta Lei, as áreas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definidas como ambientes experimentais de inovação científica,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tecnológica e empreendedora estabelecidos no Município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São Paulo por ato do Comitê Gestor do Programa SAMPA SANDBOX durante os ciclos experimentais de testagem de produtos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e/ou soluções inovadoras.</w:t>
      </w:r>
    </w:p>
    <w:p w14:paraId="2185300C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Parágrafo único. Com observância dos requisitos estabelecidos nesta Lei, o Comitê Gestor definirá, mediante publicação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edital, os critérios, prazos e regras para seleção dos projetos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que poderão participar dos ciclos experimentais nos Bancos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 xml:space="preserve">Testes dos Ambientes </w:t>
      </w:r>
      <w:proofErr w:type="spellStart"/>
      <w:r w:rsidRPr="00C42B04">
        <w:rPr>
          <w:rFonts w:ascii="Arial" w:hAnsi="Arial" w:cs="Arial"/>
        </w:rPr>
        <w:t>Sandbox</w:t>
      </w:r>
      <w:proofErr w:type="spellEnd"/>
      <w:r w:rsidRPr="00C42B04">
        <w:rPr>
          <w:rFonts w:ascii="Arial" w:hAnsi="Arial" w:cs="Arial"/>
        </w:rPr>
        <w:t xml:space="preserve"> no Município.</w:t>
      </w:r>
    </w:p>
    <w:p w14:paraId="754D4A8A" w14:textId="77777777" w:rsidR="0070048C" w:rsidRDefault="0070048C" w:rsidP="0070048C">
      <w:pPr>
        <w:spacing w:after="0"/>
        <w:jc w:val="both"/>
        <w:rPr>
          <w:rFonts w:ascii="Arial" w:hAnsi="Arial" w:cs="Arial"/>
        </w:rPr>
      </w:pPr>
    </w:p>
    <w:p w14:paraId="0D90F1C9" w14:textId="4973A9FE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3º Exclusivamente nos ambientes do Programa SAMPA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SANDBOX, e somente quando necessário para viabilização da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testagem de soluções de caráter inovador, o Comitê Gestor poderá solicitar ao órgão municipal que tenha competência sobre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 norma específica de interesse, o afastamento ou a adequação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temporária desta, de forma a se buscar o atingimento das finalidades previstas no art. 1º desta Lei.</w:t>
      </w:r>
    </w:p>
    <w:p w14:paraId="0C98730E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1º O pedido de afastamento ou adequação temporária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norma de interesse deverá indicar de forma clara e objetiva,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além do interesse público a ser atingido, qual a norma abrangida na solicitação, bem como qual o alcance e a duração do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afastamento ou da adequação solicitada, para a devida análise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 xml:space="preserve">do órgão com competência sobre </w:t>
      </w:r>
      <w:proofErr w:type="gramStart"/>
      <w:r w:rsidRPr="00C42B04">
        <w:rPr>
          <w:rFonts w:ascii="Arial" w:hAnsi="Arial" w:cs="Arial"/>
        </w:rPr>
        <w:t>a mesma</w:t>
      </w:r>
      <w:proofErr w:type="gramEnd"/>
      <w:r w:rsidRPr="00C42B04">
        <w:rPr>
          <w:rFonts w:ascii="Arial" w:hAnsi="Arial" w:cs="Arial"/>
        </w:rPr>
        <w:t>.</w:t>
      </w:r>
    </w:p>
    <w:p w14:paraId="4F829B0E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lastRenderedPageBreak/>
        <w:t>§ 2º Caso não seja possível o afastamento ou a adequação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temporária conforme solicitado pelo Comitê Gestor, o órgão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municipal que tenha competência sobre a norma específica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deverá responder de forma fundamentada, apresentando 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motivos que impedem o atendimento da solicitação.</w:t>
      </w:r>
    </w:p>
    <w:p w14:paraId="140DB8EF" w14:textId="77777777" w:rsidR="0070048C" w:rsidRDefault="0070048C" w:rsidP="0070048C">
      <w:pPr>
        <w:spacing w:after="0"/>
        <w:jc w:val="both"/>
        <w:rPr>
          <w:rFonts w:ascii="Arial" w:hAnsi="Arial" w:cs="Arial"/>
        </w:rPr>
      </w:pPr>
    </w:p>
    <w:p w14:paraId="6083400D" w14:textId="3814E122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4º São presumidas como soluções de caráter inovador,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elegíveis ao Programa SAMPA SANDBOX, os produtos, serviços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 processos que possam ser aprimorados por meio de testagem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científica e tecnológica a ser devidamente aprovada nos Bancos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Testes por ato do Comitê Gestor, contemplando temas ligados a Cidades Inteligentes (</w:t>
      </w:r>
      <w:proofErr w:type="spellStart"/>
      <w:r w:rsidRPr="00C42B04">
        <w:rPr>
          <w:rFonts w:ascii="Arial" w:hAnsi="Arial" w:cs="Arial"/>
        </w:rPr>
        <w:t>Smart</w:t>
      </w:r>
      <w:proofErr w:type="spellEnd"/>
      <w:r w:rsidRPr="00C42B04">
        <w:rPr>
          <w:rFonts w:ascii="Arial" w:hAnsi="Arial" w:cs="Arial"/>
        </w:rPr>
        <w:t xml:space="preserve"> </w:t>
      </w:r>
      <w:proofErr w:type="spellStart"/>
      <w:r w:rsidRPr="00C42B04">
        <w:rPr>
          <w:rFonts w:ascii="Arial" w:hAnsi="Arial" w:cs="Arial"/>
        </w:rPr>
        <w:t>Cities</w:t>
      </w:r>
      <w:proofErr w:type="spellEnd"/>
      <w:r w:rsidRPr="00C42B04">
        <w:rPr>
          <w:rFonts w:ascii="Arial" w:hAnsi="Arial" w:cs="Arial"/>
        </w:rPr>
        <w:t xml:space="preserve">), </w:t>
      </w:r>
      <w:proofErr w:type="spellStart"/>
      <w:r w:rsidRPr="00C42B04">
        <w:rPr>
          <w:rFonts w:ascii="Arial" w:hAnsi="Arial" w:cs="Arial"/>
        </w:rPr>
        <w:t>Smart</w:t>
      </w:r>
      <w:proofErr w:type="spellEnd"/>
      <w:r w:rsidRPr="00C42B04">
        <w:rPr>
          <w:rFonts w:ascii="Arial" w:hAnsi="Arial" w:cs="Arial"/>
        </w:rPr>
        <w:t xml:space="preserve"> Grids (Redes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Elétricas Inteligentes e de Telecomunicação-TI), Infraestrutura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Urbana de Recarga de Veículos Elétricos, Infraestrutura Urbana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Geração Distribuída de Energia Limpa para Mobilidade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Elétrica, Mobilidade como Serviço, Sistemas de Abastecimento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como Serviço, Realidade 3D (Virtual, Aumentada, Misturada,</w:t>
      </w:r>
      <w:r>
        <w:rPr>
          <w:rFonts w:ascii="Arial" w:hAnsi="Arial" w:cs="Arial"/>
        </w:rPr>
        <w:t xml:space="preserve"> </w:t>
      </w:r>
      <w:proofErr w:type="spellStart"/>
      <w:r w:rsidRPr="00C42B04">
        <w:rPr>
          <w:rFonts w:ascii="Arial" w:hAnsi="Arial" w:cs="Arial"/>
        </w:rPr>
        <w:t>MultiVerso</w:t>
      </w:r>
      <w:proofErr w:type="spellEnd"/>
      <w:r w:rsidRPr="00C42B04">
        <w:rPr>
          <w:rFonts w:ascii="Arial" w:hAnsi="Arial" w:cs="Arial"/>
        </w:rPr>
        <w:t xml:space="preserve">, Games), Mobiliários Urbanos Inteligentes de </w:t>
      </w:r>
      <w:proofErr w:type="spellStart"/>
      <w:r w:rsidRPr="00C42B04">
        <w:rPr>
          <w:rFonts w:ascii="Arial" w:hAnsi="Arial" w:cs="Arial"/>
        </w:rPr>
        <w:t>Eletroposto</w:t>
      </w:r>
      <w:proofErr w:type="spellEnd"/>
      <w:r w:rsidRPr="00C42B04">
        <w:rPr>
          <w:rFonts w:ascii="Arial" w:hAnsi="Arial" w:cs="Arial"/>
        </w:rPr>
        <w:t>/Postes inteligentes/Garagens fotovoltaicas/Coleta de Lixo,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Big Data, Internet das Coisas (</w:t>
      </w:r>
      <w:proofErr w:type="spellStart"/>
      <w:r w:rsidRPr="00C42B04">
        <w:rPr>
          <w:rFonts w:ascii="Arial" w:hAnsi="Arial" w:cs="Arial"/>
        </w:rPr>
        <w:t>IoT</w:t>
      </w:r>
      <w:proofErr w:type="spellEnd"/>
      <w:r w:rsidRPr="00C42B04">
        <w:rPr>
          <w:rFonts w:ascii="Arial" w:hAnsi="Arial" w:cs="Arial"/>
        </w:rPr>
        <w:t>), Indústria 4.0, entre outros.</w:t>
      </w:r>
    </w:p>
    <w:p w14:paraId="263D1601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1º Os projetos que pleiteiam os pedidos de testagens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 xml:space="preserve">científicas e tecnológicas em Ambientes Experimentais de Inovação (Ambientes </w:t>
      </w:r>
      <w:proofErr w:type="spellStart"/>
      <w:r w:rsidRPr="00C42B04">
        <w:rPr>
          <w:rFonts w:ascii="Arial" w:hAnsi="Arial" w:cs="Arial"/>
        </w:rPr>
        <w:t>Sandbox</w:t>
      </w:r>
      <w:proofErr w:type="spellEnd"/>
      <w:r w:rsidRPr="00C42B04">
        <w:rPr>
          <w:rFonts w:ascii="Arial" w:hAnsi="Arial" w:cs="Arial"/>
        </w:rPr>
        <w:t>) deverão contemplar cronograma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ciclo experimental prevendo execução de até 6 (seis) a 12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(doze) meses.</w:t>
      </w:r>
    </w:p>
    <w:p w14:paraId="1081F1B1" w14:textId="0A3A233D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2º Sempre que se mostrar aderente ao interesse público,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 Comitê Gestor poderá, de ofício ou mediante requerimento,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renovar o ciclo de experimentação nos Bancos de Testes, fundamentando expressamente as razões de tal deliberação.</w:t>
      </w:r>
    </w:p>
    <w:p w14:paraId="73669633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6421D828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CAPÍTULO II</w:t>
      </w:r>
    </w:p>
    <w:p w14:paraId="016E73F7" w14:textId="419D27D3" w:rsidR="0070048C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DO COMITÊ GESTOR DO PROGRAMA SAMPA SANDBOX</w:t>
      </w:r>
    </w:p>
    <w:p w14:paraId="450DA8E3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</w:p>
    <w:p w14:paraId="056380C2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5º Fica instituído o Comitê Gestor do Programa SAMPA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SANDBOX, ao qual compete:</w:t>
      </w:r>
    </w:p>
    <w:p w14:paraId="554F4487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 - </w:t>
      </w:r>
      <w:proofErr w:type="gramStart"/>
      <w:r w:rsidRPr="00C42B04">
        <w:rPr>
          <w:rFonts w:ascii="Arial" w:hAnsi="Arial" w:cs="Arial"/>
        </w:rPr>
        <w:t>elaborar e publicar</w:t>
      </w:r>
      <w:proofErr w:type="gramEnd"/>
      <w:r w:rsidRPr="00C42B04">
        <w:rPr>
          <w:rFonts w:ascii="Arial" w:hAnsi="Arial" w:cs="Arial"/>
        </w:rPr>
        <w:t xml:space="preserve"> as chamadas para os ciclos experimentais de testagem dos Ambientes de Inovação (</w:t>
      </w:r>
      <w:proofErr w:type="spellStart"/>
      <w:r w:rsidRPr="00C42B04">
        <w:rPr>
          <w:rFonts w:ascii="Arial" w:hAnsi="Arial" w:cs="Arial"/>
        </w:rPr>
        <w:t>Sandbox</w:t>
      </w:r>
      <w:proofErr w:type="spellEnd"/>
      <w:r w:rsidRPr="00C42B04">
        <w:rPr>
          <w:rFonts w:ascii="Arial" w:hAnsi="Arial" w:cs="Arial"/>
        </w:rPr>
        <w:t>), estabelecendo, no mínimo, os temas prioritários para os projetos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 serem apresentados e as áreas onde poderão ser realizadas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as testagens de cada ciclo experimental;</w:t>
      </w:r>
    </w:p>
    <w:p w14:paraId="5D04E144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II - </w:t>
      </w:r>
      <w:proofErr w:type="gramStart"/>
      <w:r w:rsidRPr="00C42B04">
        <w:rPr>
          <w:rFonts w:ascii="Arial" w:hAnsi="Arial" w:cs="Arial"/>
        </w:rPr>
        <w:t>monitorar e avaliar</w:t>
      </w:r>
      <w:proofErr w:type="gramEnd"/>
      <w:r w:rsidRPr="00C42B04">
        <w:rPr>
          <w:rFonts w:ascii="Arial" w:hAnsi="Arial" w:cs="Arial"/>
        </w:rPr>
        <w:t>, continuamente, a eficácia dos ambientes experimentais ora disciplinados;</w:t>
      </w:r>
    </w:p>
    <w:p w14:paraId="1F42CFB6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III - acompanhar o desempenho dos experimentos, para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que ao final dos ciclos, a seu critério, aprove o respectivo Relatório de Desempenho;</w:t>
      </w:r>
    </w:p>
    <w:p w14:paraId="61274312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IV - </w:t>
      </w:r>
      <w:proofErr w:type="gramStart"/>
      <w:r w:rsidRPr="00C42B04">
        <w:rPr>
          <w:rFonts w:ascii="Arial" w:hAnsi="Arial" w:cs="Arial"/>
        </w:rPr>
        <w:t>interagir e cooperar</w:t>
      </w:r>
      <w:proofErr w:type="gramEnd"/>
      <w:r w:rsidRPr="00C42B04">
        <w:rPr>
          <w:rFonts w:ascii="Arial" w:hAnsi="Arial" w:cs="Arial"/>
        </w:rPr>
        <w:t xml:space="preserve"> com órgãos e entidades externas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à Administração Pública, de forma a estimular os processos administrativos voltados à absorção dos resultados colhidos nos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ambientes experimentais;</w:t>
      </w:r>
    </w:p>
    <w:p w14:paraId="3A44EE18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V - </w:t>
      </w:r>
      <w:proofErr w:type="gramStart"/>
      <w:r w:rsidRPr="00C42B04">
        <w:rPr>
          <w:rFonts w:ascii="Arial" w:hAnsi="Arial" w:cs="Arial"/>
        </w:rPr>
        <w:t>rever</w:t>
      </w:r>
      <w:proofErr w:type="gramEnd"/>
      <w:r w:rsidRPr="00C42B04">
        <w:rPr>
          <w:rFonts w:ascii="Arial" w:hAnsi="Arial" w:cs="Arial"/>
        </w:rPr>
        <w:t xml:space="preserve"> seus atos sempre que se mostrarem contrários ao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interesse público, aos princípios constitucionais, em especial ao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da legalidade, ou aos efeitos da legislação vigente.</w:t>
      </w:r>
    </w:p>
    <w:p w14:paraId="593B0D22" w14:textId="77777777" w:rsidR="0070048C" w:rsidRDefault="0070048C" w:rsidP="0070048C">
      <w:pPr>
        <w:spacing w:after="0"/>
        <w:jc w:val="both"/>
        <w:rPr>
          <w:rFonts w:ascii="Arial" w:hAnsi="Arial" w:cs="Arial"/>
        </w:rPr>
      </w:pPr>
    </w:p>
    <w:p w14:paraId="016EDF6C" w14:textId="6D7C6BA8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6º O Comitê Gestor do Programa SAMPA SANDBOX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será composto por:</w:t>
      </w:r>
    </w:p>
    <w:p w14:paraId="157DD767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I - 1 (um) representante indicado pela Secretaria Municipal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Inovação e Tecnologia – SMIT;</w:t>
      </w:r>
    </w:p>
    <w:p w14:paraId="17BD417F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II - 1 (um) representante indicado pela Secretaria Municipal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Finanças – SF;</w:t>
      </w:r>
    </w:p>
    <w:p w14:paraId="52865128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III - 1 (um) representante indicado pela Secretaria do Governo Municipal – SGM;</w:t>
      </w:r>
    </w:p>
    <w:p w14:paraId="05E44D94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IV - 1 (um) representante indicado pela Secretaria Municipal de Desenvolvimento Econômico e Trabalho – SMDET;</w:t>
      </w:r>
    </w:p>
    <w:p w14:paraId="2280E110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V - 1 (um) representante indicado pela Secretaria Municipal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Urbanismo e Licenciamento – SMUL;</w:t>
      </w:r>
    </w:p>
    <w:p w14:paraId="4546E26D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VI - 1 (um) representante indicado pela Secretaria Municipal de Infraestrutura Urbana e Obras – SIURB;</w:t>
      </w:r>
    </w:p>
    <w:p w14:paraId="4B69519A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VII - 1 (um) representante indicado pela Agência de Desenvolvimento de São Paulo – ADESAMPA;</w:t>
      </w:r>
    </w:p>
    <w:p w14:paraId="226C7144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VIII - 1 (um) representante indicado pela São Paulo Negócios – SP NEGÓCIOS;</w:t>
      </w:r>
    </w:p>
    <w:p w14:paraId="3541FBE5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IX - 1 (um) representante do Legislativo – Câmara Municipal de São Paulo.</w:t>
      </w:r>
    </w:p>
    <w:p w14:paraId="3F6950E4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1º O Comitê Gestor deverá em sua primeira reunião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eleger seu Presidente, para mandato de 1 (um) ano, ficando 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critério do Comitê a instituição de diretrizes suplementares para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 funcionamento dos trabalhos.</w:t>
      </w:r>
    </w:p>
    <w:p w14:paraId="4651065B" w14:textId="31318519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lastRenderedPageBreak/>
        <w:t>§ 2º O Comitê Gestor poderá a seu critério solicitar 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participação, de forma consultiva, de representantes de outras Secretarias de Governo, órgãos, comitês e instituições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públicas e privadas a fim de auxiliar a análise dos projetos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apresentados com os pedidos de testagens, bem como para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 acompanhamento de suas respectivas execuções durante 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ciclo experimental.</w:t>
      </w:r>
    </w:p>
    <w:p w14:paraId="53CBD863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2D6DAE7F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CAPÍTULO III</w:t>
      </w:r>
    </w:p>
    <w:p w14:paraId="63CC0504" w14:textId="4E3932AB" w:rsidR="0070048C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DOS RESULTADOS DOS AMBIENTES EXPERIMENTAIS</w:t>
      </w:r>
    </w:p>
    <w:p w14:paraId="0359A8C2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</w:p>
    <w:p w14:paraId="24E96437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7º Após o término de cada ciclo experimental competirá ao Comitê Gestor do Programa SAMPA SANDBOX emitir 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Relatórios de Acompanhamento, devidamente fundamentados,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aos órgãos e/ou entidades municipais competentes, podendo,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no mesmo relatório, sugerir eventuais necessidades de ajustes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na legislação municipal que tenham sido verificadas ao longo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da realização das testagens.</w:t>
      </w:r>
    </w:p>
    <w:p w14:paraId="28B64BD4" w14:textId="21ABDDC4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Parágrafo único. Os resultados das testagens havidas nos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ambientes experimentais, quando promovidas e/ou executadas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por órgãos e/ou entidades da Administração Pública do Município, deverão ser registrados pelo órgão responsável a fim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que possam ser empregados na formulação e/ou melhoramento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das políticas públicas municipais, sob o conceito de Cidades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Inteligentes.</w:t>
      </w:r>
    </w:p>
    <w:p w14:paraId="59676006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7487C02E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CAPÍTULO IV</w:t>
      </w:r>
    </w:p>
    <w:p w14:paraId="16E49F72" w14:textId="6DDBAC61" w:rsidR="0070048C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  <w:r w:rsidRPr="00871649">
        <w:rPr>
          <w:rFonts w:ascii="Arial" w:hAnsi="Arial" w:cs="Arial"/>
          <w:b/>
          <w:bCs/>
        </w:rPr>
        <w:t>DAS DISPOSIÇÕES FINAIS</w:t>
      </w:r>
    </w:p>
    <w:p w14:paraId="1F70FC27" w14:textId="77777777" w:rsidR="0070048C" w:rsidRPr="00871649" w:rsidRDefault="0070048C" w:rsidP="0070048C">
      <w:pPr>
        <w:spacing w:after="0"/>
        <w:jc w:val="center"/>
        <w:rPr>
          <w:rFonts w:ascii="Arial" w:hAnsi="Arial" w:cs="Arial"/>
          <w:b/>
          <w:bCs/>
        </w:rPr>
      </w:pPr>
    </w:p>
    <w:p w14:paraId="5BC5A045" w14:textId="4C8621D5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8º O Poder Executivo Municipal regulamentará esta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Lei por decreto.</w:t>
      </w:r>
    </w:p>
    <w:p w14:paraId="50CCD506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47A25853" w14:textId="5D152F8E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9º As despesas decorrentes da execução desta Lei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correrão por conta das dotações orçamentárias próprias, suplementadas, se necessário.</w:t>
      </w:r>
    </w:p>
    <w:p w14:paraId="10CE3567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3A233927" w14:textId="51E36996" w:rsidR="0070048C" w:rsidRDefault="0070048C" w:rsidP="0070048C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10. Esta Lei entra em vigor na data de sua publicação.</w:t>
      </w:r>
    </w:p>
    <w:p w14:paraId="1C569009" w14:textId="77777777" w:rsidR="0070048C" w:rsidRPr="00C42B04" w:rsidRDefault="0070048C" w:rsidP="0070048C">
      <w:pPr>
        <w:spacing w:after="0"/>
        <w:jc w:val="both"/>
        <w:rPr>
          <w:rFonts w:ascii="Arial" w:hAnsi="Arial" w:cs="Arial"/>
        </w:rPr>
      </w:pPr>
    </w:p>
    <w:p w14:paraId="74544E34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PREFEITURA DO MUNICÍPIO DE SÃO PAULO, aos 30 de dezembro de 2022, 469º da fundação de São Paulo.</w:t>
      </w:r>
    </w:p>
    <w:p w14:paraId="61491434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RICARDO NUNES, PREFEITO</w:t>
      </w:r>
    </w:p>
    <w:p w14:paraId="4B98FDB6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4749FB65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7C3E2815" w14:textId="77777777" w:rsidR="0070048C" w:rsidRPr="00871649" w:rsidRDefault="0070048C" w:rsidP="007004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1649">
        <w:rPr>
          <w:rFonts w:ascii="Arial" w:hAnsi="Arial" w:cs="Arial"/>
          <w:sz w:val="18"/>
          <w:szCs w:val="18"/>
        </w:rPr>
        <w:t>Publicada na Casa Civil, em 30 de dezembro de 2022.</w:t>
      </w:r>
    </w:p>
    <w:p w14:paraId="4571C840" w14:textId="77949806" w:rsidR="00C1413D" w:rsidRPr="00FE43D7" w:rsidRDefault="00C1413D" w:rsidP="0070048C">
      <w:pPr>
        <w:spacing w:after="0"/>
        <w:jc w:val="both"/>
        <w:rPr>
          <w:rFonts w:ascii="Arial" w:hAnsi="Arial" w:cs="Arial"/>
        </w:rPr>
      </w:pPr>
    </w:p>
    <w:sectPr w:rsidR="00C1413D" w:rsidRPr="00FE43D7" w:rsidSect="00FE43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D7"/>
    <w:rsid w:val="0070048C"/>
    <w:rsid w:val="00C1413D"/>
    <w:rsid w:val="00C6307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6361"/>
  <w15:chartTrackingRefBased/>
  <w15:docId w15:val="{F87C9FA2-5270-4E1D-A369-564FA26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2022-12-31T09:53:00Z</cp:lastPrinted>
  <dcterms:created xsi:type="dcterms:W3CDTF">2022-12-31T10:00:00Z</dcterms:created>
  <dcterms:modified xsi:type="dcterms:W3CDTF">2022-12-31T10:00:00Z</dcterms:modified>
</cp:coreProperties>
</file>